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6C5" w:rsidRDefault="0072693E" w:rsidP="000D6935">
      <w:pPr>
        <w:pStyle w:val="Articletitle"/>
        <w:jc w:val="right"/>
      </w:pPr>
      <w:r w:rsidRPr="002071CF">
        <w:t xml:space="preserve">HUMAN DIGNITY IN THE COMMON LAW OF CONTRACT: </w:t>
      </w:r>
      <w:r w:rsidR="001E59FE" w:rsidRPr="002071CF">
        <w:t xml:space="preserve">MAKING SENSE OF </w:t>
      </w:r>
      <w:r w:rsidRPr="002071CF">
        <w:t xml:space="preserve">THE </w:t>
      </w:r>
      <w:r w:rsidR="001E59FE" w:rsidRPr="002071CF">
        <w:rPr>
          <w:i/>
        </w:rPr>
        <w:t xml:space="preserve">BARKHUIZEN, BREDENKAMP AND </w:t>
      </w:r>
      <w:r w:rsidR="00893A90" w:rsidRPr="002071CF">
        <w:rPr>
          <w:i/>
        </w:rPr>
        <w:t>BOTHA</w:t>
      </w:r>
      <w:r w:rsidR="00C65F75" w:rsidRPr="002071CF">
        <w:rPr>
          <w:i/>
        </w:rPr>
        <w:t xml:space="preserve"> </w:t>
      </w:r>
      <w:r w:rsidRPr="002071CF">
        <w:t>TRILOGY</w:t>
      </w:r>
      <w:r w:rsidR="00DA5F7A" w:rsidRPr="002071CF">
        <w:rPr>
          <w:rStyle w:val="FootnoteReference"/>
        </w:rPr>
        <w:t xml:space="preserve"> </w:t>
      </w:r>
      <w:bookmarkStart w:id="0" w:name="_Ref510089702"/>
      <w:r w:rsidR="00706AEF" w:rsidRPr="002071CF">
        <w:rPr>
          <w:rStyle w:val="FootnoteReference"/>
        </w:rPr>
        <w:footnoteReference w:id="1"/>
      </w:r>
      <w:bookmarkEnd w:id="0"/>
    </w:p>
    <w:p w:rsidR="00893A90" w:rsidRDefault="00893A90" w:rsidP="00893A90">
      <w:pPr>
        <w:pBdr>
          <w:bottom w:val="single" w:sz="12" w:space="1" w:color="auto"/>
        </w:pBdr>
        <w:jc w:val="right"/>
      </w:pPr>
      <w:r>
        <w:t>Hanri du Plessis*</w:t>
      </w:r>
    </w:p>
    <w:p w:rsidR="0092373E" w:rsidRPr="0092373E" w:rsidRDefault="0092373E" w:rsidP="00893A90">
      <w:pPr>
        <w:jc w:val="right"/>
      </w:pPr>
    </w:p>
    <w:p w:rsidR="00997B0F" w:rsidRDefault="008C481F" w:rsidP="000D6935">
      <w:pPr>
        <w:pStyle w:val="Heading1"/>
      </w:pPr>
      <w:r>
        <w:t>I</w:t>
      </w:r>
      <w:r w:rsidR="000D6935" w:rsidRPr="000D6935">
        <w:t xml:space="preserve"> INTRODUCTION</w:t>
      </w:r>
    </w:p>
    <w:p w:rsidR="00FD43ED" w:rsidRDefault="003362C6" w:rsidP="00772C32">
      <w:pPr>
        <w:pStyle w:val="Paragraph"/>
      </w:pPr>
      <w:r>
        <w:t xml:space="preserve">The </w:t>
      </w:r>
      <w:r w:rsidR="00BB1B1E">
        <w:t xml:space="preserve">role of fairness in the South African </w:t>
      </w:r>
      <w:r w:rsidR="001759D7">
        <w:t xml:space="preserve">common </w:t>
      </w:r>
      <w:r w:rsidR="00BB1B1E">
        <w:t>law of contract</w:t>
      </w:r>
      <w:r w:rsidR="003C6198">
        <w:t xml:space="preserve"> </w:t>
      </w:r>
      <w:r w:rsidR="00BB1B1E">
        <w:t>has been a contentious issue</w:t>
      </w:r>
      <w:r w:rsidR="00D44066">
        <w:t xml:space="preserve"> for centuries.</w:t>
      </w:r>
      <w:r w:rsidR="00D44066">
        <w:rPr>
          <w:rStyle w:val="FootnoteReference"/>
        </w:rPr>
        <w:footnoteReference w:id="2"/>
      </w:r>
      <w:r w:rsidR="00D44066">
        <w:t xml:space="preserve"> After the introduction of the Constitution of the Republic of South Africa, 1996</w:t>
      </w:r>
      <w:r w:rsidR="008D7EE2">
        <w:t>,</w:t>
      </w:r>
      <w:r w:rsidR="00D44066">
        <w:t xml:space="preserve"> this</w:t>
      </w:r>
      <w:r w:rsidR="00C65F75">
        <w:t xml:space="preserve"> debate came to the forefront with the </w:t>
      </w:r>
      <w:r w:rsidR="00BB1B1E">
        <w:t xml:space="preserve">apparent </w:t>
      </w:r>
      <w:r>
        <w:t xml:space="preserve">tension between the </w:t>
      </w:r>
      <w:r w:rsidR="009657E6">
        <w:t>Cou</w:t>
      </w:r>
      <w:r w:rsidR="0021082B">
        <w:t>r</w:t>
      </w:r>
      <w:r w:rsidR="009657E6">
        <w:t>t</w:t>
      </w:r>
      <w:r>
        <w:t xml:space="preserve">’s decision in </w:t>
      </w:r>
      <w:r>
        <w:rPr>
          <w:i/>
        </w:rPr>
        <w:t>Barkhuizen</w:t>
      </w:r>
      <w:bookmarkStart w:id="1" w:name="_Ref520135956"/>
      <w:r>
        <w:rPr>
          <w:rStyle w:val="FootnoteReference"/>
          <w:i/>
        </w:rPr>
        <w:footnoteReference w:id="3"/>
      </w:r>
      <w:bookmarkEnd w:id="1"/>
      <w:r>
        <w:t xml:space="preserve"> and that of the Supreme Court of Appeal in </w:t>
      </w:r>
      <w:r>
        <w:rPr>
          <w:i/>
        </w:rPr>
        <w:t>Bredenkamp</w:t>
      </w:r>
      <w:r w:rsidR="008D7EE2" w:rsidRPr="008D7EE2">
        <w:t>.</w:t>
      </w:r>
      <w:bookmarkStart w:id="2" w:name="_Ref520136563"/>
      <w:r w:rsidRPr="008D7EE2">
        <w:rPr>
          <w:rStyle w:val="FootnoteReference"/>
        </w:rPr>
        <w:footnoteReference w:id="4"/>
      </w:r>
      <w:bookmarkEnd w:id="2"/>
      <w:r w:rsidR="00772C32">
        <w:t xml:space="preserve"> </w:t>
      </w:r>
      <w:r w:rsidR="00C65F75">
        <w:t xml:space="preserve">Legal practitioners and academics eagerly awaited the Court’s response to </w:t>
      </w:r>
      <w:r w:rsidR="00C65F75">
        <w:rPr>
          <w:i/>
        </w:rPr>
        <w:t>Bredenkamp</w:t>
      </w:r>
      <w:r w:rsidR="0098479C">
        <w:t xml:space="preserve">, but were </w:t>
      </w:r>
      <w:r w:rsidR="00C65F75">
        <w:t xml:space="preserve">disappointed with the decision in </w:t>
      </w:r>
      <w:r w:rsidR="00C65F75">
        <w:rPr>
          <w:i/>
        </w:rPr>
        <w:t>Botha</w:t>
      </w:r>
      <w:r w:rsidR="004B29E5">
        <w:t>.</w:t>
      </w:r>
      <w:bookmarkStart w:id="3" w:name="_Ref520136785"/>
      <w:r w:rsidR="00645CEE">
        <w:rPr>
          <w:rStyle w:val="FootnoteReference"/>
        </w:rPr>
        <w:footnoteReference w:id="5"/>
      </w:r>
      <w:bookmarkEnd w:id="3"/>
      <w:r w:rsidR="004B29E5">
        <w:t xml:space="preserve"> </w:t>
      </w:r>
      <w:r w:rsidR="000C6ACC">
        <w:t>Some</w:t>
      </w:r>
      <w:r w:rsidR="004B29E5">
        <w:t xml:space="preserve"> </w:t>
      </w:r>
      <w:r w:rsidR="008D7EE2">
        <w:t>argued</w:t>
      </w:r>
      <w:r w:rsidR="0098479C">
        <w:t xml:space="preserve"> that it </w:t>
      </w:r>
      <w:r w:rsidR="0082336A">
        <w:t>aggravated</w:t>
      </w:r>
      <w:r w:rsidR="00FD43ED">
        <w:t xml:space="preserve"> the existing</w:t>
      </w:r>
      <w:r w:rsidR="00C65F75">
        <w:t xml:space="preserve"> legal uncertainty </w:t>
      </w:r>
      <w:r w:rsidR="00645CEE">
        <w:t>and failed to resolve the apparent tension between these two decisions</w:t>
      </w:r>
      <w:r w:rsidR="00FD43ED">
        <w:t>.</w:t>
      </w:r>
      <w:bookmarkStart w:id="4" w:name="_Ref520138209"/>
      <w:r w:rsidR="00C65F75">
        <w:rPr>
          <w:rStyle w:val="FootnoteReference"/>
        </w:rPr>
        <w:footnoteReference w:id="6"/>
      </w:r>
      <w:bookmarkEnd w:id="4"/>
      <w:r w:rsidR="00C65F75">
        <w:t xml:space="preserve"> </w:t>
      </w:r>
    </w:p>
    <w:p w:rsidR="00C65F75" w:rsidRDefault="00C65F75" w:rsidP="00C65F75">
      <w:pPr>
        <w:pStyle w:val="Newparagraph"/>
      </w:pPr>
      <w:r>
        <w:lastRenderedPageBreak/>
        <w:t xml:space="preserve">In this article, I propose a reading of </w:t>
      </w:r>
      <w:r w:rsidR="00772C32">
        <w:t>these three contract law cases</w:t>
      </w:r>
      <w:r>
        <w:t xml:space="preserve"> that makes sense of the role of f</w:t>
      </w:r>
      <w:r w:rsidR="00FD43ED">
        <w:t>airness in the</w:t>
      </w:r>
      <w:r w:rsidR="008D7F54">
        <w:t xml:space="preserve"> common</w:t>
      </w:r>
      <w:r w:rsidR="00FD43ED">
        <w:t xml:space="preserve"> law o</w:t>
      </w:r>
      <w:r w:rsidR="00772C32">
        <w:t xml:space="preserve">f contract through </w:t>
      </w:r>
      <w:r w:rsidR="00D44066">
        <w:t>a</w:t>
      </w:r>
      <w:r w:rsidR="00FD43ED">
        <w:t xml:space="preserve"> </w:t>
      </w:r>
      <w:r w:rsidR="00772C32">
        <w:t xml:space="preserve">sophisticated </w:t>
      </w:r>
      <w:r w:rsidR="00FD43ED">
        <w:t>understanding of the constitutional value of human dignity</w:t>
      </w:r>
      <w:r w:rsidR="00772C32">
        <w:t xml:space="preserve"> as developed </w:t>
      </w:r>
      <w:r w:rsidR="004F528A">
        <w:t>by the Court</w:t>
      </w:r>
      <w:r w:rsidR="00772C32">
        <w:t xml:space="preserve"> over the last two decades</w:t>
      </w:r>
      <w:r w:rsidR="003A3C14">
        <w:t xml:space="preserve">. First, I provide a </w:t>
      </w:r>
      <w:r w:rsidR="00E37775">
        <w:t xml:space="preserve">brief </w:t>
      </w:r>
      <w:r w:rsidR="003A3C14">
        <w:t xml:space="preserve">summary of </w:t>
      </w:r>
      <w:r w:rsidR="005724A3">
        <w:t>Beyleveld and Brownsword’s</w:t>
      </w:r>
      <w:r w:rsidR="003A3C14">
        <w:t xml:space="preserve"> </w:t>
      </w:r>
      <w:r w:rsidR="00F44A70">
        <w:t>dualistic approach to</w:t>
      </w:r>
      <w:r w:rsidR="003A3C14">
        <w:t xml:space="preserve"> human dignity </w:t>
      </w:r>
      <w:r w:rsidR="0095055F">
        <w:t xml:space="preserve">in the </w:t>
      </w:r>
      <w:r w:rsidR="009F24CF">
        <w:t>law</w:t>
      </w:r>
      <w:r w:rsidR="0095055F">
        <w:t xml:space="preserve"> of contract</w:t>
      </w:r>
      <w:r w:rsidR="005724A3">
        <w:t xml:space="preserve"> and the</w:t>
      </w:r>
      <w:r w:rsidR="00DB6FA7">
        <w:t xml:space="preserve"> </w:t>
      </w:r>
      <w:r w:rsidR="00F44A70">
        <w:t>resulting tension</w:t>
      </w:r>
      <w:r w:rsidR="003A3C14">
        <w:t xml:space="preserve"> </w:t>
      </w:r>
      <w:r w:rsidR="005724A3">
        <w:t xml:space="preserve">between </w:t>
      </w:r>
      <w:r w:rsidR="00AD7BC9">
        <w:t>human dignit</w:t>
      </w:r>
      <w:r w:rsidR="00F66602">
        <w:t xml:space="preserve">y as empowerment </w:t>
      </w:r>
      <w:r w:rsidR="00F66602" w:rsidRPr="0089687F">
        <w:t>and constraint</w:t>
      </w:r>
      <w:r w:rsidR="00AD7BC9" w:rsidRPr="0089687F">
        <w:t xml:space="preserve"> </w:t>
      </w:r>
      <w:r w:rsidR="005724A3" w:rsidRPr="0089687F">
        <w:t xml:space="preserve">as based on their individualistic interpretation of Kantian dignity. </w:t>
      </w:r>
      <w:r w:rsidR="002214D9" w:rsidRPr="0089687F">
        <w:t>Thereafter,</w:t>
      </w:r>
      <w:r w:rsidR="005724A3" w:rsidRPr="0089687F">
        <w:t xml:space="preserve"> Cornell and Wood’s more</w:t>
      </w:r>
      <w:r w:rsidR="005724A3">
        <w:t xml:space="preserve"> communitarian interpretation of Kantian dignity </w:t>
      </w:r>
      <w:r w:rsidR="002214D9">
        <w:t xml:space="preserve">is </w:t>
      </w:r>
      <w:r w:rsidR="001759D7">
        <w:t xml:space="preserve">briefly </w:t>
      </w:r>
      <w:r w:rsidR="00EB7B0E">
        <w:t>discussed</w:t>
      </w:r>
      <w:r w:rsidR="002214D9">
        <w:t xml:space="preserve"> as an alternative </w:t>
      </w:r>
      <w:r w:rsidR="00EB7B0E">
        <w:t xml:space="preserve">reading of Kant </w:t>
      </w:r>
      <w:r w:rsidR="005724A3">
        <w:t>to resolve the above tension</w:t>
      </w:r>
      <w:r w:rsidR="003A3C14">
        <w:t xml:space="preserve">. Secondly, I discuss the </w:t>
      </w:r>
      <w:r w:rsidR="00612096">
        <w:t xml:space="preserve">Court’s approach to human dignity as reflected in constitutional </w:t>
      </w:r>
      <w:r w:rsidR="009657E6">
        <w:t>jurisprudence</w:t>
      </w:r>
      <w:r w:rsidR="00612096">
        <w:t xml:space="preserve"> </w:t>
      </w:r>
      <w:r w:rsidR="00B959F6">
        <w:t>outside the field of contract law</w:t>
      </w:r>
      <w:r w:rsidR="005724A3">
        <w:t xml:space="preserve"> </w:t>
      </w:r>
      <w:r w:rsidR="006567F0">
        <w:t>which is based on a</w:t>
      </w:r>
      <w:r w:rsidR="00177A68">
        <w:t xml:space="preserve"> harmonisation between</w:t>
      </w:r>
      <w:r w:rsidR="00325750">
        <w:t xml:space="preserve"> Kantian dignity and ubuntu. </w:t>
      </w:r>
      <w:r w:rsidR="0098479C">
        <w:t xml:space="preserve">Finally, </w:t>
      </w:r>
      <w:r w:rsidR="00E83BC4">
        <w:t xml:space="preserve">I </w:t>
      </w:r>
      <w:r w:rsidR="0098479C">
        <w:t xml:space="preserve">use the Court’s </w:t>
      </w:r>
      <w:r w:rsidR="00F80779">
        <w:t>evolving</w:t>
      </w:r>
      <w:r w:rsidR="000A6CA3">
        <w:t xml:space="preserve"> </w:t>
      </w:r>
      <w:r w:rsidR="00F10D0C">
        <w:t xml:space="preserve">understanding of the constitutional value of </w:t>
      </w:r>
      <w:r w:rsidR="0098479C">
        <w:t xml:space="preserve">human dignity </w:t>
      </w:r>
      <w:r w:rsidR="00727C2D">
        <w:t xml:space="preserve">and other contract law decisions to </w:t>
      </w:r>
      <w:r w:rsidR="0002334B">
        <w:t xml:space="preserve">propose an interpretation of </w:t>
      </w:r>
      <w:r w:rsidR="003A3C14">
        <w:rPr>
          <w:i/>
        </w:rPr>
        <w:t>Barkhuizen, Bredenkamp</w:t>
      </w:r>
      <w:r w:rsidR="003A3C14">
        <w:t xml:space="preserve"> and </w:t>
      </w:r>
      <w:r w:rsidR="003A3C14">
        <w:rPr>
          <w:i/>
        </w:rPr>
        <w:t>Botha</w:t>
      </w:r>
      <w:r w:rsidR="00F44A70">
        <w:t xml:space="preserve"> </w:t>
      </w:r>
      <w:r w:rsidR="00C669F9">
        <w:t>that</w:t>
      </w:r>
      <w:r w:rsidR="00F10D0C">
        <w:t xml:space="preserve"> supports the creation of a</w:t>
      </w:r>
      <w:r w:rsidR="00B959F6">
        <w:t>n e</w:t>
      </w:r>
      <w:r w:rsidR="007F3072">
        <w:t>quitable discretion in the common law of contract.</w:t>
      </w:r>
    </w:p>
    <w:p w:rsidR="00646CD9" w:rsidRDefault="008C481F" w:rsidP="0072693E">
      <w:pPr>
        <w:pStyle w:val="Heading1"/>
      </w:pPr>
      <w:r>
        <w:t>II</w:t>
      </w:r>
      <w:r w:rsidR="00646CD9">
        <w:t xml:space="preserve"> </w:t>
      </w:r>
      <w:r w:rsidR="00901500">
        <w:t>DUALISTIC APPROACH TO HUMAN DIGNITY IN</w:t>
      </w:r>
      <w:r w:rsidR="00646CD9">
        <w:t xml:space="preserve"> CONTRACT LAW</w:t>
      </w:r>
      <w:r w:rsidR="00D60E0D">
        <w:rPr>
          <w:rStyle w:val="FootnoteReference"/>
        </w:rPr>
        <w:footnoteReference w:id="7"/>
      </w:r>
    </w:p>
    <w:p w:rsidR="008C481F" w:rsidRDefault="008C481F" w:rsidP="008C481F">
      <w:pPr>
        <w:pStyle w:val="Paragraph"/>
        <w:rPr>
          <w:lang w:val="en-ZA"/>
        </w:rPr>
      </w:pPr>
      <w:r w:rsidRPr="00683990">
        <w:rPr>
          <w:lang w:val="en-ZA"/>
        </w:rPr>
        <w:t>Beyleveld and Brownsword distinguish between human dignity as empowerment and human dignity as constraint.</w:t>
      </w:r>
      <w:bookmarkStart w:id="5" w:name="_Ref520139007"/>
      <w:r w:rsidRPr="00683990">
        <w:rPr>
          <w:vertAlign w:val="superscript"/>
          <w:lang w:val="en-ZA"/>
        </w:rPr>
        <w:footnoteReference w:id="8"/>
      </w:r>
      <w:bookmarkEnd w:id="5"/>
      <w:r w:rsidRPr="00683990">
        <w:rPr>
          <w:lang w:val="en-ZA"/>
        </w:rPr>
        <w:t xml:space="preserve"> Human dignity as empowerment refers to the case where human dignity promotes individual interests in the law of contract, while human dignity as constraint refers to instances where communitarian interests are promoted.</w:t>
      </w:r>
      <w:r w:rsidRPr="00683990">
        <w:rPr>
          <w:vertAlign w:val="superscript"/>
          <w:lang w:val="en-ZA"/>
        </w:rPr>
        <w:footnoteReference w:id="9"/>
      </w:r>
      <w:r w:rsidR="00F0476C">
        <w:rPr>
          <w:lang w:val="en-ZA"/>
        </w:rPr>
        <w:t xml:space="preserve"> </w:t>
      </w:r>
    </w:p>
    <w:p w:rsidR="008C481F" w:rsidRDefault="008C481F" w:rsidP="008C481F">
      <w:pPr>
        <w:pStyle w:val="Heading2"/>
        <w:rPr>
          <w:lang w:val="en-ZA"/>
        </w:rPr>
      </w:pPr>
      <w:r>
        <w:rPr>
          <w:lang w:val="en-ZA"/>
        </w:rPr>
        <w:lastRenderedPageBreak/>
        <w:t>A Human dignity as empowerment</w:t>
      </w:r>
    </w:p>
    <w:p w:rsidR="006E064F" w:rsidRPr="003D19A2" w:rsidRDefault="006E064F" w:rsidP="006E064F">
      <w:pPr>
        <w:pStyle w:val="Paragraph"/>
      </w:pPr>
      <w:r>
        <w:t xml:space="preserve">Human dignity as empowerment </w:t>
      </w:r>
      <w:r w:rsidRPr="003D19A2">
        <w:t>entails the empowerment of a person to live an autonomous life by making her own decisions and taking responsibility for those decisions.</w:t>
      </w:r>
      <w:bookmarkStart w:id="6" w:name="_Ref520139260"/>
      <w:r w:rsidRPr="003D19A2">
        <w:rPr>
          <w:rStyle w:val="FootnoteReference"/>
        </w:rPr>
        <w:footnoteReference w:id="10"/>
      </w:r>
      <w:bookmarkEnd w:id="6"/>
      <w:r w:rsidRPr="003D19A2">
        <w:t xml:space="preserve"> Brownsword provides the following description of human dignity as empowerment:</w:t>
      </w:r>
    </w:p>
    <w:p w:rsidR="006E064F" w:rsidRPr="003D19A2" w:rsidRDefault="006E064F" w:rsidP="006E064F">
      <w:pPr>
        <w:pStyle w:val="Displayedquotation"/>
      </w:pPr>
      <w:r w:rsidRPr="003D19A2">
        <w:t xml:space="preserve">[I]t is because humans have a distinctive value (their intrinsic dignity) that they have rights </w:t>
      </w:r>
      <w:r w:rsidRPr="003D19A2">
        <w:rPr>
          <w:i/>
          <w:iCs/>
        </w:rPr>
        <w:t>qua</w:t>
      </w:r>
      <w:r w:rsidRPr="003D19A2">
        <w:t xml:space="preserve"> humans. Commonly, it is the capacity for autonomous action that is equated with human dignity and this, in turn, generates a regime of human </w:t>
      </w:r>
      <w:r w:rsidRPr="006E064F">
        <w:t>rights</w:t>
      </w:r>
      <w:r w:rsidRPr="003D19A2">
        <w:t xml:space="preserve"> organised around the protection of individual autonomy. In this way, respect for human dignity empowers individuals by protecting their choices against the unwilled interferences of others.</w:t>
      </w:r>
      <w:bookmarkStart w:id="7" w:name="_Ref473022004"/>
      <w:r w:rsidRPr="003D19A2">
        <w:rPr>
          <w:rStyle w:val="FootnoteReference"/>
        </w:rPr>
        <w:footnoteReference w:id="11"/>
      </w:r>
      <w:bookmarkEnd w:id="7"/>
    </w:p>
    <w:p w:rsidR="00762711" w:rsidRPr="003D19A2" w:rsidRDefault="00762711" w:rsidP="000A21EF">
      <w:pPr>
        <w:pStyle w:val="Paragraph"/>
      </w:pPr>
      <w:r>
        <w:t>Brownsword and Beyleveld points out that the</w:t>
      </w:r>
      <w:r w:rsidR="00580A89">
        <w:t xml:space="preserve"> idea that h</w:t>
      </w:r>
      <w:r>
        <w:t>uman beings have intrinsic worth, and therefore, dignity, finds support</w:t>
      </w:r>
      <w:r w:rsidR="00DB6FA7">
        <w:t xml:space="preserve"> in</w:t>
      </w:r>
      <w:r w:rsidR="00580A89">
        <w:t xml:space="preserve"> Kantian thinking.</w:t>
      </w:r>
      <w:r>
        <w:rPr>
          <w:rStyle w:val="FootnoteReference"/>
        </w:rPr>
        <w:footnoteReference w:id="12"/>
      </w:r>
      <w:r>
        <w:t xml:space="preserve"> </w:t>
      </w:r>
      <w:r w:rsidR="00DB6FA7">
        <w:t>Kant argued that something has a dignity because it has intrinsic value and is of inestimable worth.</w:t>
      </w:r>
      <w:bookmarkStart w:id="8" w:name="_Ref520140348"/>
      <w:r w:rsidR="00DB6FA7">
        <w:rPr>
          <w:rStyle w:val="FootnoteReference"/>
        </w:rPr>
        <w:footnoteReference w:id="13"/>
      </w:r>
      <w:bookmarkEnd w:id="8"/>
      <w:r w:rsidR="00DB6FA7">
        <w:t xml:space="preserve"> </w:t>
      </w:r>
      <w:r w:rsidR="0086733F">
        <w:t>Kant also maintained</w:t>
      </w:r>
      <w:r>
        <w:t xml:space="preserve"> that</w:t>
      </w:r>
      <w:r w:rsidRPr="003D19A2">
        <w:t xml:space="preserve"> </w:t>
      </w:r>
      <w:r w:rsidR="00E32A4B">
        <w:t>‘</w:t>
      </w:r>
      <w:r w:rsidRPr="003D19A2">
        <w:t>the dignity of man consists precisely in his capacity to make universal law, although only on condition of being himself also subject to the law he makes</w:t>
      </w:r>
      <w:r w:rsidR="00E32A4B">
        <w:t>’</w:t>
      </w:r>
      <w:r w:rsidRPr="003D19A2">
        <w:t>.</w:t>
      </w:r>
      <w:r w:rsidRPr="003D19A2">
        <w:rPr>
          <w:rStyle w:val="FootnoteReference"/>
        </w:rPr>
        <w:footnoteReference w:id="14"/>
      </w:r>
      <w:r w:rsidRPr="003D19A2">
        <w:t xml:space="preserve"> Relying on this passage, </w:t>
      </w:r>
      <w:r w:rsidR="00CF110F">
        <w:t>Brownsword and Beyleveld propose</w:t>
      </w:r>
      <w:r w:rsidRPr="003D19A2">
        <w:t xml:space="preserve"> that Kantian </w:t>
      </w:r>
      <w:r w:rsidRPr="003D19A2">
        <w:lastRenderedPageBreak/>
        <w:t>dignity can be used to explain why human beings have dignity</w:t>
      </w:r>
      <w:bookmarkStart w:id="9" w:name="_Ref479675403"/>
      <w:r w:rsidR="00DB6FA7">
        <w:t>.</w:t>
      </w:r>
      <w:bookmarkStart w:id="10" w:name="_Ref520140830"/>
      <w:r w:rsidRPr="003D19A2">
        <w:rPr>
          <w:rStyle w:val="FootnoteReference"/>
        </w:rPr>
        <w:footnoteReference w:id="15"/>
      </w:r>
      <w:bookmarkEnd w:id="9"/>
      <w:bookmarkEnd w:id="10"/>
      <w:r w:rsidRPr="003D19A2">
        <w:t xml:space="preserve"> </w:t>
      </w:r>
      <w:r w:rsidR="00A3096C">
        <w:t>Therefore</w:t>
      </w:r>
      <w:r w:rsidR="00DB6FA7">
        <w:t xml:space="preserve">, </w:t>
      </w:r>
      <w:r w:rsidRPr="003D19A2">
        <w:t xml:space="preserve">Kantian dignity </w:t>
      </w:r>
      <w:r w:rsidR="00DB6FA7">
        <w:t xml:space="preserve">is used in </w:t>
      </w:r>
      <w:r w:rsidRPr="003D19A2">
        <w:t>support</w:t>
      </w:r>
      <w:r w:rsidR="00DB6FA7">
        <w:t xml:space="preserve"> of</w:t>
      </w:r>
      <w:r w:rsidRPr="003D19A2">
        <w:t xml:space="preserve"> the concept of human dignity as empowerment </w:t>
      </w:r>
      <w:r w:rsidR="000A21EF">
        <w:t xml:space="preserve">which is based on human beings’ </w:t>
      </w:r>
      <w:r w:rsidR="00CF110F">
        <w:t>inherent worth</w:t>
      </w:r>
      <w:r w:rsidR="00114DDC">
        <w:t>,</w:t>
      </w:r>
      <w:r w:rsidR="00CF110F">
        <w:t xml:space="preserve"> </w:t>
      </w:r>
      <w:r w:rsidR="00D70928">
        <w:t>the latter being</w:t>
      </w:r>
      <w:r w:rsidR="007F2F92">
        <w:t xml:space="preserve"> founded</w:t>
      </w:r>
      <w:r w:rsidR="00CF110F">
        <w:t xml:space="preserve"> on their </w:t>
      </w:r>
      <w:r w:rsidR="000A21EF">
        <w:t>capacity for autonomous action</w:t>
      </w:r>
      <w:r w:rsidRPr="003D19A2">
        <w:t>.</w:t>
      </w:r>
      <w:bookmarkStart w:id="11" w:name="_Ref520141027"/>
      <w:r w:rsidRPr="003D19A2">
        <w:rPr>
          <w:rStyle w:val="FootnoteReference"/>
        </w:rPr>
        <w:footnoteReference w:id="16"/>
      </w:r>
      <w:bookmarkEnd w:id="11"/>
      <w:r w:rsidRPr="003D19A2">
        <w:t xml:space="preserve"> </w:t>
      </w:r>
    </w:p>
    <w:p w:rsidR="00CF110F" w:rsidRDefault="00C375E7" w:rsidP="000A21EF">
      <w:pPr>
        <w:pStyle w:val="Newparagraph"/>
      </w:pPr>
      <w:r>
        <w:t>H</w:t>
      </w:r>
      <w:r w:rsidR="00762711" w:rsidRPr="003D19A2">
        <w:t xml:space="preserve">uman dignity as empowerment requires that human beings should be treated as autonomous beings </w:t>
      </w:r>
      <w:r w:rsidR="00762711">
        <w:t>who</w:t>
      </w:r>
      <w:r w:rsidR="00762711" w:rsidRPr="003D19A2">
        <w:t xml:space="preserve"> can make their own decisions and should never be treated as mere things or instruments.</w:t>
      </w:r>
      <w:r w:rsidR="00762711" w:rsidRPr="003D19A2">
        <w:rPr>
          <w:rStyle w:val="FootnoteReference"/>
        </w:rPr>
        <w:footnoteReference w:id="17"/>
      </w:r>
      <w:r w:rsidR="00762711" w:rsidRPr="003D19A2">
        <w:t xml:space="preserve"> </w:t>
      </w:r>
      <w:r w:rsidR="000A21EF">
        <w:t>Brownsword and Beyleveld trace t</w:t>
      </w:r>
      <w:r w:rsidR="00762711" w:rsidRPr="003D19A2">
        <w:t>his</w:t>
      </w:r>
      <w:r w:rsidR="00082763">
        <w:t xml:space="preserve"> idea</w:t>
      </w:r>
      <w:r w:rsidR="00762711" w:rsidRPr="003D19A2">
        <w:t xml:space="preserve"> </w:t>
      </w:r>
      <w:r w:rsidR="000A21EF">
        <w:t>to</w:t>
      </w:r>
      <w:r w:rsidR="00762711" w:rsidRPr="003D19A2">
        <w:t xml:space="preserve"> Kant’s </w:t>
      </w:r>
      <w:r w:rsidR="00082763">
        <w:t xml:space="preserve">second categorical imperative, the </w:t>
      </w:r>
      <w:r w:rsidR="00E32A4B">
        <w:t>‘</w:t>
      </w:r>
      <w:r w:rsidR="000A21EF">
        <w:t>Formula of the End in Itself</w:t>
      </w:r>
      <w:r w:rsidR="00E32A4B">
        <w:t>’</w:t>
      </w:r>
      <w:r w:rsidR="00CF110F">
        <w:t>:</w:t>
      </w:r>
    </w:p>
    <w:p w:rsidR="00762711" w:rsidRPr="003D19A2" w:rsidRDefault="00762711" w:rsidP="00CF110F">
      <w:pPr>
        <w:pStyle w:val="Displayedquotation"/>
      </w:pPr>
      <w:r w:rsidRPr="003D19A2">
        <w:t>Act in such a way that you always treat humanity, whether in your own person or in the person of any other, never simply as a means, but always at the same time as an end.</w:t>
      </w:r>
      <w:bookmarkStart w:id="12" w:name="_Ref475431066"/>
      <w:r w:rsidRPr="003D19A2">
        <w:rPr>
          <w:rStyle w:val="FootnoteReference"/>
        </w:rPr>
        <w:footnoteReference w:id="18"/>
      </w:r>
      <w:bookmarkEnd w:id="12"/>
    </w:p>
    <w:p w:rsidR="005764FC" w:rsidRDefault="00762711" w:rsidP="00CF110F">
      <w:pPr>
        <w:pStyle w:val="Paragraph"/>
      </w:pPr>
      <w:r w:rsidRPr="003D19A2">
        <w:t xml:space="preserve">They state that this passage </w:t>
      </w:r>
      <w:r w:rsidR="00C375E7">
        <w:t>supports the argument</w:t>
      </w:r>
      <w:r w:rsidRPr="003D19A2">
        <w:t xml:space="preserve"> </w:t>
      </w:r>
      <w:r w:rsidR="00E32A4B">
        <w:t>‘</w:t>
      </w:r>
      <w:r w:rsidRPr="003D19A2">
        <w:t>that it is wrong to treat persons as mere things rather than as autonomous ends</w:t>
      </w:r>
      <w:r w:rsidR="00E32A4B">
        <w:t>’</w:t>
      </w:r>
      <w:r w:rsidRPr="003D19A2">
        <w:t>.</w:t>
      </w:r>
      <w:bookmarkStart w:id="13" w:name="_Ref479681858"/>
      <w:r w:rsidRPr="003D19A2">
        <w:rPr>
          <w:rStyle w:val="FootnoteReference"/>
        </w:rPr>
        <w:footnoteReference w:id="19"/>
      </w:r>
      <w:bookmarkEnd w:id="13"/>
      <w:r w:rsidRPr="003D19A2">
        <w:t xml:space="preserve"> </w:t>
      </w:r>
      <w:r w:rsidR="00A3096C">
        <w:t xml:space="preserve">So again, </w:t>
      </w:r>
      <w:r w:rsidRPr="003D19A2">
        <w:t>Kantian thinking</w:t>
      </w:r>
      <w:r w:rsidR="00114DDC">
        <w:t xml:space="preserve"> is used</w:t>
      </w:r>
      <w:r w:rsidRPr="003D19A2">
        <w:t xml:space="preserve"> </w:t>
      </w:r>
      <w:r w:rsidR="00A3096C">
        <w:t>in</w:t>
      </w:r>
      <w:r w:rsidRPr="003D19A2">
        <w:t xml:space="preserve"> support </w:t>
      </w:r>
      <w:r w:rsidR="00A3096C">
        <w:t xml:space="preserve">of </w:t>
      </w:r>
      <w:r w:rsidRPr="003D19A2">
        <w:t xml:space="preserve">the idea that </w:t>
      </w:r>
      <w:r w:rsidR="00E32A4B">
        <w:t>‘</w:t>
      </w:r>
      <w:r w:rsidRPr="003D19A2">
        <w:t>human dignity empowers individuals by protecting their choices against the unwilled interferences of others</w:t>
      </w:r>
      <w:r w:rsidR="00E32A4B">
        <w:t>’</w:t>
      </w:r>
      <w:r w:rsidRPr="003D19A2">
        <w:t>.</w:t>
      </w:r>
      <w:r w:rsidRPr="003D19A2">
        <w:rPr>
          <w:rStyle w:val="FootnoteReference"/>
        </w:rPr>
        <w:footnoteReference w:id="20"/>
      </w:r>
      <w:r w:rsidRPr="003D19A2">
        <w:t xml:space="preserve"> </w:t>
      </w:r>
      <w:r w:rsidR="00580A89">
        <w:t xml:space="preserve">  </w:t>
      </w:r>
    </w:p>
    <w:p w:rsidR="00862BCA" w:rsidRDefault="00114DDC" w:rsidP="000A21EF">
      <w:pPr>
        <w:pStyle w:val="Newparagraph"/>
      </w:pPr>
      <w:r>
        <w:t xml:space="preserve">According to Brownsword, human dignity as </w:t>
      </w:r>
      <w:r w:rsidR="00862BCA">
        <w:t>empowerment comprise</w:t>
      </w:r>
      <w:r w:rsidR="0014165E">
        <w:t>s</w:t>
      </w:r>
      <w:r w:rsidR="00862BCA">
        <w:t xml:space="preserve"> two aspects</w:t>
      </w:r>
      <w:r w:rsidR="00082763">
        <w:t>:</w:t>
      </w:r>
      <w:r w:rsidR="00862BCA">
        <w:t xml:space="preserve"> First</w:t>
      </w:r>
      <w:r w:rsidR="00C375E7">
        <w:t>ly</w:t>
      </w:r>
      <w:r w:rsidR="00862BCA">
        <w:t xml:space="preserve">, protection against direct attacks </w:t>
      </w:r>
      <w:r w:rsidR="00484C8B">
        <w:t xml:space="preserve">for example killing, slavery and </w:t>
      </w:r>
      <w:r w:rsidR="00862BCA">
        <w:t>discrimination, and secondly, the creation of the necessary conditions for the realisation of</w:t>
      </w:r>
      <w:r>
        <w:t xml:space="preserve"> person’s</w:t>
      </w:r>
      <w:r w:rsidR="00862BCA">
        <w:t xml:space="preserve"> human dignity </w:t>
      </w:r>
      <w:r w:rsidR="00E26C63">
        <w:t>which translates as a ‘right to support and assistance to secure circumstances that are essential if one is to flourish as a human’</w:t>
      </w:r>
      <w:r w:rsidR="00484C8B">
        <w:t>.</w:t>
      </w:r>
      <w:bookmarkStart w:id="14" w:name="_Ref520141172"/>
      <w:r w:rsidR="00E26C63">
        <w:rPr>
          <w:rStyle w:val="FootnoteReference"/>
        </w:rPr>
        <w:footnoteReference w:id="21"/>
      </w:r>
      <w:bookmarkEnd w:id="14"/>
      <w:r w:rsidR="00E26C63">
        <w:t xml:space="preserve"> </w:t>
      </w:r>
      <w:r w:rsidR="00484C8B">
        <w:t xml:space="preserve">The latter aspect is </w:t>
      </w:r>
      <w:r w:rsidR="00E26C63">
        <w:lastRenderedPageBreak/>
        <w:t xml:space="preserve">reflected in </w:t>
      </w:r>
      <w:r w:rsidR="00484C8B">
        <w:t xml:space="preserve">the </w:t>
      </w:r>
      <w:r w:rsidR="00E26C63">
        <w:t xml:space="preserve">various </w:t>
      </w:r>
      <w:r w:rsidR="00862BCA">
        <w:t xml:space="preserve">socio-economic rights </w:t>
      </w:r>
      <w:r w:rsidR="00E26C63">
        <w:t>that must be protected and promoted by t</w:t>
      </w:r>
      <w:r w:rsidR="00484C8B">
        <w:t>he</w:t>
      </w:r>
      <w:r w:rsidR="00E26C63">
        <w:t xml:space="preserve"> State</w:t>
      </w:r>
      <w:r w:rsidR="00862BCA">
        <w:t>.</w:t>
      </w:r>
      <w:bookmarkStart w:id="15" w:name="_Ref520141370"/>
      <w:r w:rsidR="00E26C63">
        <w:rPr>
          <w:rStyle w:val="FootnoteReference"/>
        </w:rPr>
        <w:footnoteReference w:id="22"/>
      </w:r>
      <w:bookmarkEnd w:id="15"/>
      <w:r w:rsidR="00862BCA">
        <w:t xml:space="preserve"> </w:t>
      </w:r>
    </w:p>
    <w:p w:rsidR="006E064F" w:rsidRDefault="002F31ED" w:rsidP="00862BCA">
      <w:pPr>
        <w:pStyle w:val="Newparagraph"/>
      </w:pPr>
      <w:r>
        <w:t>T</w:t>
      </w:r>
      <w:r w:rsidR="00862BCA">
        <w:t>he concept of h</w:t>
      </w:r>
      <w:r w:rsidR="006E064F" w:rsidRPr="003D19A2">
        <w:t xml:space="preserve">uman dignity as empowerment is rights-driven because it grounds </w:t>
      </w:r>
      <w:r>
        <w:t>‘</w:t>
      </w:r>
      <w:r w:rsidR="006E064F" w:rsidRPr="003D19A2">
        <w:t xml:space="preserve">a set of rights claims </w:t>
      </w:r>
      <w:r>
        <w:t>against others’ and reinforces ‘</w:t>
      </w:r>
      <w:r w:rsidR="006E064F" w:rsidRPr="003D19A2">
        <w:t>claims to self-determination</w:t>
      </w:r>
      <w:r>
        <w:t>’</w:t>
      </w:r>
      <w:r w:rsidR="006E064F" w:rsidRPr="003D19A2">
        <w:t>.</w:t>
      </w:r>
      <w:bookmarkStart w:id="16" w:name="_Ref480361117"/>
      <w:r w:rsidR="006E064F" w:rsidRPr="003D19A2">
        <w:rPr>
          <w:rStyle w:val="FootnoteReference"/>
        </w:rPr>
        <w:footnoteReference w:id="23"/>
      </w:r>
      <w:bookmarkEnd w:id="16"/>
      <w:r w:rsidR="006E064F" w:rsidRPr="003D19A2">
        <w:t xml:space="preserve"> </w:t>
      </w:r>
      <w:r w:rsidR="006E064F">
        <w:t>It</w:t>
      </w:r>
      <w:r w:rsidR="006E064F" w:rsidRPr="003D19A2">
        <w:t xml:space="preserve"> places great importance on individual autonomy </w:t>
      </w:r>
      <w:r>
        <w:t>and</w:t>
      </w:r>
      <w:r w:rsidR="006E064F" w:rsidRPr="003D19A2">
        <w:t xml:space="preserve"> </w:t>
      </w:r>
      <w:r w:rsidR="00A3096C">
        <w:t xml:space="preserve">maximises </w:t>
      </w:r>
      <w:r w:rsidR="006E064F" w:rsidRPr="003D19A2">
        <w:t xml:space="preserve">individual freedom </w:t>
      </w:r>
      <w:r w:rsidR="00A3096C">
        <w:t>which may only be limited to protect</w:t>
      </w:r>
      <w:r w:rsidR="006E064F" w:rsidRPr="003D19A2">
        <w:t xml:space="preserve"> </w:t>
      </w:r>
      <w:r w:rsidR="00A3096C">
        <w:t>the rights of others</w:t>
      </w:r>
      <w:r w:rsidR="006E064F" w:rsidRPr="003D19A2">
        <w:t xml:space="preserve"> </w:t>
      </w:r>
      <w:r w:rsidR="00A3096C">
        <w:t xml:space="preserve"> ‘</w:t>
      </w:r>
      <w:r w:rsidR="006E064F" w:rsidRPr="003D19A2">
        <w:t>or for some less direct rights-related reason</w:t>
      </w:r>
      <w:r w:rsidR="00A3096C">
        <w:t>’</w:t>
      </w:r>
      <w:r w:rsidR="006E064F" w:rsidRPr="003D19A2">
        <w:t>.</w:t>
      </w:r>
      <w:bookmarkStart w:id="17" w:name="_Ref520141524"/>
      <w:r w:rsidR="006E064F" w:rsidRPr="003D19A2">
        <w:rPr>
          <w:rStyle w:val="FootnoteReference"/>
        </w:rPr>
        <w:footnoteReference w:id="24"/>
      </w:r>
      <w:bookmarkEnd w:id="17"/>
      <w:r w:rsidR="006E064F" w:rsidRPr="003D19A2">
        <w:t xml:space="preserve"> Accordingly, the idea of human dignity as empowerment is based on the political philosophies of individualism and economic liberalism which limits state interference in private transactions.</w:t>
      </w:r>
      <w:r w:rsidR="006E064F" w:rsidRPr="003D19A2">
        <w:rPr>
          <w:rStyle w:val="FootnoteReference"/>
        </w:rPr>
        <w:footnoteReference w:id="25"/>
      </w:r>
      <w:r w:rsidR="006E064F">
        <w:t xml:space="preserve"> </w:t>
      </w:r>
    </w:p>
    <w:p w:rsidR="006E064F" w:rsidRPr="006E064F" w:rsidRDefault="00C375E7" w:rsidP="006E064F">
      <w:pPr>
        <w:pStyle w:val="Newparagraph"/>
      </w:pPr>
      <w:r>
        <w:t>H</w:t>
      </w:r>
      <w:r w:rsidR="006E064F" w:rsidRPr="003D19A2">
        <w:t>uman dignity as empowerment</w:t>
      </w:r>
      <w:r w:rsidR="00862BCA">
        <w:t xml:space="preserve"> as applied in a contract law setting means t</w:t>
      </w:r>
      <w:r w:rsidR="006E064F">
        <w:t>hat</w:t>
      </w:r>
      <w:r w:rsidR="006E064F" w:rsidRPr="003D19A2">
        <w:t xml:space="preserve"> contracting parties are free to conclude contracts as an expression of their autonomy and that contracts freely entered into must be respected, failing which, there is an affront to the human dignity of the contracting parties.</w:t>
      </w:r>
      <w:bookmarkStart w:id="18" w:name="_Ref517438957"/>
      <w:r w:rsidR="006E064F" w:rsidRPr="003D19A2">
        <w:rPr>
          <w:rStyle w:val="FootnoteReference"/>
        </w:rPr>
        <w:footnoteReference w:id="26"/>
      </w:r>
      <w:bookmarkEnd w:id="18"/>
      <w:r w:rsidR="006E064F" w:rsidRPr="003D19A2">
        <w:t xml:space="preserve"> Hence this notion of human dignity finds expression in the classical law of contract which can also be linked to the political philosophies of individualism and economic liberalism.</w:t>
      </w:r>
      <w:bookmarkStart w:id="19" w:name="_Ref520141707"/>
      <w:r w:rsidR="006E064F" w:rsidRPr="003D19A2">
        <w:rPr>
          <w:rStyle w:val="FootnoteReference"/>
        </w:rPr>
        <w:footnoteReference w:id="27"/>
      </w:r>
      <w:bookmarkEnd w:id="19"/>
    </w:p>
    <w:p w:rsidR="008C481F" w:rsidRDefault="008C481F" w:rsidP="008C481F">
      <w:pPr>
        <w:pStyle w:val="Heading2"/>
        <w:rPr>
          <w:lang w:val="en-ZA"/>
        </w:rPr>
      </w:pPr>
      <w:r>
        <w:rPr>
          <w:lang w:val="en-ZA"/>
        </w:rPr>
        <w:t>B Human dignity as constraint</w:t>
      </w:r>
    </w:p>
    <w:p w:rsidR="00862BCA" w:rsidRDefault="00B90AAD" w:rsidP="00B90AAD">
      <w:pPr>
        <w:pStyle w:val="Paragraph"/>
      </w:pPr>
      <w:r w:rsidRPr="003D19A2">
        <w:t xml:space="preserve">While human dignity as empowerment enforces and promotes individual autonomy, </w:t>
      </w:r>
      <w:r w:rsidRPr="003D19A2">
        <w:lastRenderedPageBreak/>
        <w:t xml:space="preserve">human dignity as constraint refers to the limitation of </w:t>
      </w:r>
      <w:r w:rsidR="00114DDC">
        <w:t xml:space="preserve">an </w:t>
      </w:r>
      <w:r w:rsidRPr="003D19A2">
        <w:t>individual</w:t>
      </w:r>
      <w:r w:rsidR="00114DDC">
        <w:t>’s</w:t>
      </w:r>
      <w:r w:rsidRPr="003D19A2">
        <w:t xml:space="preserve"> autonomy where the protection and promotion of </w:t>
      </w:r>
      <w:r w:rsidR="00114DDC">
        <w:t xml:space="preserve">another person’s </w:t>
      </w:r>
      <w:r w:rsidRPr="003D19A2">
        <w:t>human dignity requires such limitation.</w:t>
      </w:r>
      <w:r w:rsidRPr="003D19A2">
        <w:rPr>
          <w:rStyle w:val="FootnoteReference"/>
          <w:lang w:eastAsia="x-none"/>
        </w:rPr>
        <w:footnoteReference w:id="28"/>
      </w:r>
    </w:p>
    <w:p w:rsidR="00D60E0D" w:rsidRDefault="003540F0" w:rsidP="00B90AAD">
      <w:pPr>
        <w:pStyle w:val="Newparagraph"/>
      </w:pPr>
      <w:r>
        <w:t>T</w:t>
      </w:r>
      <w:r w:rsidR="00B90AAD">
        <w:t>he</w:t>
      </w:r>
      <w:r w:rsidR="00B90AAD" w:rsidRPr="003D19A2">
        <w:t xml:space="preserve"> idea of human dignity as constraint expresses a more duty-driven approach to human rights.</w:t>
      </w:r>
      <w:bookmarkStart w:id="20" w:name="_Ref482610432"/>
      <w:r w:rsidR="00B90AAD" w:rsidRPr="003D19A2">
        <w:rPr>
          <w:rStyle w:val="FootnoteReference"/>
          <w:lang w:eastAsia="x-none"/>
        </w:rPr>
        <w:footnoteReference w:id="29"/>
      </w:r>
      <w:bookmarkEnd w:id="20"/>
      <w:r w:rsidR="00B90AAD" w:rsidRPr="003D19A2">
        <w:t xml:space="preserve"> On a fundamental level, it refers to the correlating duty to respect the human dignity of others</w:t>
      </w:r>
      <w:r w:rsidR="00114DDC">
        <w:t xml:space="preserve"> </w:t>
      </w:r>
      <w:r w:rsidR="00B90AAD">
        <w:t xml:space="preserve">and </w:t>
      </w:r>
      <w:r w:rsidR="00114DDC">
        <w:t>includes</w:t>
      </w:r>
      <w:r w:rsidR="00B90AAD" w:rsidRPr="003D19A2">
        <w:t xml:space="preserve"> the duty to respect another’s human dignity as given effect to by her specific human rights.</w:t>
      </w:r>
      <w:bookmarkStart w:id="21" w:name="_Ref480361134"/>
      <w:r w:rsidR="007F2F92" w:rsidRPr="003D19A2">
        <w:rPr>
          <w:rStyle w:val="FootnoteReference"/>
          <w:lang w:eastAsia="x-none"/>
        </w:rPr>
        <w:footnoteReference w:id="30"/>
      </w:r>
      <w:bookmarkEnd w:id="21"/>
      <w:r w:rsidR="00B90AAD" w:rsidRPr="003D19A2">
        <w:t xml:space="preserve"> </w:t>
      </w:r>
      <w:r w:rsidR="00D60E0D">
        <w:t xml:space="preserve">Again, this conception of human dignity has been linked to Kant’s work because </w:t>
      </w:r>
      <w:r w:rsidR="00C375E7">
        <w:t>he</w:t>
      </w:r>
      <w:r w:rsidR="00D60E0D">
        <w:t xml:space="preserve"> speaks of the duty </w:t>
      </w:r>
      <w:r w:rsidR="00A3096C">
        <w:t>not</w:t>
      </w:r>
      <w:r w:rsidR="00C052D3">
        <w:t xml:space="preserve"> to</w:t>
      </w:r>
      <w:r w:rsidR="00D60E0D">
        <w:t xml:space="preserve"> ‘act</w:t>
      </w:r>
      <w:r w:rsidR="00114DDC">
        <w:t xml:space="preserve"> </w:t>
      </w:r>
      <w:r w:rsidR="00D60E0D" w:rsidRPr="003D19A2">
        <w:t>contrary to the equally necessary self-esteem of others, as human beings</w:t>
      </w:r>
      <w:r w:rsidR="00A3096C">
        <w:t>’</w:t>
      </w:r>
      <w:r w:rsidR="00D60E0D" w:rsidRPr="003D19A2">
        <w:t xml:space="preserve"> and the </w:t>
      </w:r>
      <w:r w:rsidR="00A3096C">
        <w:t>‘</w:t>
      </w:r>
      <w:r w:rsidR="00D60E0D" w:rsidRPr="003D19A2">
        <w:t>obligation to acknowledge in a practical way, the dignity of humanity in every other human being</w:t>
      </w:r>
      <w:r w:rsidR="00A3096C">
        <w:t>’</w:t>
      </w:r>
      <w:r w:rsidR="00D60E0D" w:rsidRPr="003D19A2">
        <w:t>.</w:t>
      </w:r>
      <w:bookmarkStart w:id="22" w:name="_Ref520142067"/>
      <w:r w:rsidR="00D60E0D">
        <w:rPr>
          <w:rStyle w:val="FootnoteReference"/>
        </w:rPr>
        <w:footnoteReference w:id="31"/>
      </w:r>
      <w:bookmarkEnd w:id="22"/>
    </w:p>
    <w:p w:rsidR="00B90AAD" w:rsidRPr="003D19A2" w:rsidRDefault="00B90AAD" w:rsidP="00B90AAD">
      <w:pPr>
        <w:pStyle w:val="Newparagraph"/>
        <w:rPr>
          <w:lang w:eastAsia="x-none"/>
        </w:rPr>
      </w:pPr>
      <w:r>
        <w:t xml:space="preserve">In </w:t>
      </w:r>
      <w:r w:rsidRPr="003D19A2">
        <w:t xml:space="preserve">addition, human dignity as constraint may also recognise a further duty to one’s community which would entail not only a direct duty to respect the human dignity of others but also an indirect duty </w:t>
      </w:r>
      <w:r w:rsidR="003540F0">
        <w:t>‘</w:t>
      </w:r>
      <w:r w:rsidRPr="003D19A2">
        <w:t>to respec</w:t>
      </w:r>
      <w:r w:rsidR="003540F0">
        <w:t>t their vision of human dignity’</w:t>
      </w:r>
      <w:r w:rsidRPr="003D19A2">
        <w:t>.</w:t>
      </w:r>
      <w:r w:rsidRPr="003D19A2">
        <w:rPr>
          <w:rStyle w:val="FootnoteReference"/>
        </w:rPr>
        <w:footnoteReference w:id="32"/>
      </w:r>
      <w:r w:rsidRPr="003D19A2">
        <w:t xml:space="preserve"> T</w:t>
      </w:r>
      <w:r w:rsidR="00901500">
        <w:t>h</w:t>
      </w:r>
      <w:r w:rsidRPr="003D19A2">
        <w:t xml:space="preserve">is duty may arise </w:t>
      </w:r>
      <w:r w:rsidR="003540F0">
        <w:t>‘</w:t>
      </w:r>
      <w:r w:rsidRPr="003D19A2">
        <w:t>where there is a background ethic of care and concern for others (and, concomitantly, a sense of solidarity with and responsibility for others)</w:t>
      </w:r>
      <w:r w:rsidR="003540F0">
        <w:t>’</w:t>
      </w:r>
      <w:r w:rsidRPr="003D19A2">
        <w:t xml:space="preserve"> which results in </w:t>
      </w:r>
      <w:r w:rsidR="003540F0">
        <w:t>‘</w:t>
      </w:r>
      <w:r w:rsidRPr="003D19A2">
        <w:t>a regime of values that reflects not only a degree of control over one’s own flourishing but also a measure of commitment to the flourishing of others</w:t>
      </w:r>
      <w:r w:rsidR="003540F0">
        <w:t>’</w:t>
      </w:r>
      <w:r w:rsidRPr="003D19A2">
        <w:t>.</w:t>
      </w:r>
      <w:r w:rsidRPr="003D19A2">
        <w:rPr>
          <w:rStyle w:val="FootnoteReference"/>
        </w:rPr>
        <w:footnoteReference w:id="33"/>
      </w:r>
      <w:r w:rsidRPr="003D19A2">
        <w:t xml:space="preserve"> Accordingly, it could be argued that such a duty could denote a</w:t>
      </w:r>
      <w:r w:rsidRPr="003D19A2">
        <w:rPr>
          <w:lang w:eastAsia="x-none"/>
        </w:rPr>
        <w:t xml:space="preserve">n obligation on private individuals to assist in the creation </w:t>
      </w:r>
      <w:r w:rsidR="00A3096C">
        <w:rPr>
          <w:lang w:eastAsia="x-none"/>
        </w:rPr>
        <w:t xml:space="preserve">and promotion </w:t>
      </w:r>
      <w:r w:rsidRPr="003D19A2">
        <w:rPr>
          <w:lang w:eastAsia="x-none"/>
        </w:rPr>
        <w:t xml:space="preserve">of the necessary conditions for the realisation of others’ </w:t>
      </w:r>
      <w:r w:rsidRPr="003D19A2">
        <w:rPr>
          <w:lang w:eastAsia="x-none"/>
        </w:rPr>
        <w:lastRenderedPageBreak/>
        <w:t>human dignity.</w:t>
      </w:r>
      <w:bookmarkStart w:id="23" w:name="_Ref480375496"/>
      <w:r w:rsidRPr="003D19A2">
        <w:rPr>
          <w:rStyle w:val="FootnoteReference"/>
          <w:lang w:eastAsia="x-none"/>
        </w:rPr>
        <w:footnoteReference w:id="34"/>
      </w:r>
      <w:bookmarkEnd w:id="23"/>
      <w:r w:rsidRPr="003D19A2">
        <w:rPr>
          <w:lang w:eastAsia="x-none"/>
        </w:rPr>
        <w:t xml:space="preserve"> </w:t>
      </w:r>
      <w:r w:rsidR="00114DDC">
        <w:rPr>
          <w:lang w:eastAsia="x-none"/>
        </w:rPr>
        <w:t>In this way</w:t>
      </w:r>
      <w:r w:rsidR="003540F0">
        <w:rPr>
          <w:lang w:eastAsia="x-none"/>
        </w:rPr>
        <w:t>,</w:t>
      </w:r>
      <w:r w:rsidRPr="003D19A2">
        <w:rPr>
          <w:lang w:eastAsia="x-none"/>
        </w:rPr>
        <w:t xml:space="preserve"> human dignity as constraint </w:t>
      </w:r>
      <w:r w:rsidR="00114DDC">
        <w:rPr>
          <w:lang w:eastAsia="x-none"/>
        </w:rPr>
        <w:t xml:space="preserve">supports the </w:t>
      </w:r>
      <w:r w:rsidRPr="003D19A2">
        <w:rPr>
          <w:lang w:eastAsia="x-none"/>
        </w:rPr>
        <w:t>promot</w:t>
      </w:r>
      <w:r w:rsidR="00114DDC">
        <w:rPr>
          <w:lang w:eastAsia="x-none"/>
        </w:rPr>
        <w:t>ion of</w:t>
      </w:r>
      <w:r w:rsidRPr="003D19A2">
        <w:rPr>
          <w:lang w:eastAsia="x-none"/>
        </w:rPr>
        <w:t xml:space="preserve"> socio-economic rights and substantive equality in the private sphere.</w:t>
      </w:r>
      <w:r w:rsidRPr="003D19A2">
        <w:rPr>
          <w:rStyle w:val="FootnoteReference"/>
          <w:lang w:eastAsia="x-none"/>
        </w:rPr>
        <w:footnoteReference w:id="35"/>
      </w:r>
      <w:r w:rsidRPr="003D19A2">
        <w:rPr>
          <w:lang w:eastAsia="x-none"/>
        </w:rPr>
        <w:t xml:space="preserve"> </w:t>
      </w:r>
    </w:p>
    <w:p w:rsidR="00B90AAD" w:rsidRPr="003D19A2" w:rsidRDefault="00901500" w:rsidP="00901500">
      <w:pPr>
        <w:pStyle w:val="Newparagraph"/>
      </w:pPr>
      <w:r>
        <w:rPr>
          <w:lang w:eastAsia="x-none"/>
        </w:rPr>
        <w:t>While</w:t>
      </w:r>
      <w:r w:rsidR="00B90AAD" w:rsidRPr="003D19A2">
        <w:rPr>
          <w:lang w:eastAsia="x-none"/>
        </w:rPr>
        <w:t xml:space="preserve"> human dignity as empowerment promotes a rights-driven approach to human rights which results in the maximisation of individual freedom and limits state intervention in the private sphere</w:t>
      </w:r>
      <w:r>
        <w:rPr>
          <w:lang w:eastAsia="x-none"/>
        </w:rPr>
        <w:t>,</w:t>
      </w:r>
      <w:r w:rsidRPr="003D19A2">
        <w:rPr>
          <w:rStyle w:val="FootnoteReference"/>
          <w:lang w:eastAsia="x-none"/>
        </w:rPr>
        <w:footnoteReference w:id="36"/>
      </w:r>
      <w:r w:rsidR="00B90AAD" w:rsidRPr="003D19A2">
        <w:rPr>
          <w:lang w:eastAsia="x-none"/>
        </w:rPr>
        <w:t xml:space="preserve"> human dignity as constraint involves a more duty-driven approach to human rights which allows for a greater limitation of individual freedom</w:t>
      </w:r>
      <w:r w:rsidR="00B90AAD" w:rsidRPr="003D19A2">
        <w:t>.</w:t>
      </w:r>
      <w:r w:rsidR="00B90AAD" w:rsidRPr="003D19A2">
        <w:rPr>
          <w:rStyle w:val="FootnoteReference"/>
        </w:rPr>
        <w:footnoteReference w:id="37"/>
      </w:r>
      <w:r>
        <w:t xml:space="preserve"> C</w:t>
      </w:r>
      <w:r w:rsidR="00B90AAD" w:rsidRPr="003D19A2">
        <w:rPr>
          <w:lang w:eastAsia="x-none"/>
        </w:rPr>
        <w:t>onsequently, human dignity as constraint envisages a paternalistic society</w:t>
      </w:r>
      <w:bookmarkStart w:id="24" w:name="_Ref482171871"/>
      <w:r w:rsidR="00B90AAD" w:rsidRPr="003D19A2">
        <w:rPr>
          <w:rStyle w:val="FootnoteReference"/>
          <w:lang w:eastAsia="x-none"/>
        </w:rPr>
        <w:footnoteReference w:id="38"/>
      </w:r>
      <w:bookmarkEnd w:id="24"/>
      <w:r w:rsidR="00B90AAD" w:rsidRPr="003D19A2">
        <w:rPr>
          <w:lang w:eastAsia="x-none"/>
        </w:rPr>
        <w:t xml:space="preserve"> where the exercise of individual autonomy may be tempered where such actions are incompatible with the human dignity of others or in order to create the necessary conditions for the realisation thereof. As a result, human dignity as constraint envisages a society where not only the State but also private individuals are obliged to promote the realisation of the human dign</w:t>
      </w:r>
      <w:r w:rsidR="0014165E">
        <w:rPr>
          <w:lang w:eastAsia="x-none"/>
        </w:rPr>
        <w:t>ity of others. In other words, an</w:t>
      </w:r>
      <w:r w:rsidR="00B90AAD" w:rsidRPr="003D19A2">
        <w:rPr>
          <w:lang w:eastAsia="x-none"/>
        </w:rPr>
        <w:t xml:space="preserve"> individual’s autonomy may be limited where necessary to respect the human dignity of others and in order to promote the socio-economic rights and substantive equality of others which they need </w:t>
      </w:r>
      <w:r w:rsidR="0051548B">
        <w:rPr>
          <w:lang w:eastAsia="x-none"/>
        </w:rPr>
        <w:t xml:space="preserve">to </w:t>
      </w:r>
      <w:r w:rsidR="00082763">
        <w:rPr>
          <w:lang w:eastAsia="x-none"/>
        </w:rPr>
        <w:t xml:space="preserve">fully </w:t>
      </w:r>
      <w:r w:rsidR="0051548B">
        <w:rPr>
          <w:lang w:eastAsia="x-none"/>
        </w:rPr>
        <w:t>realise</w:t>
      </w:r>
      <w:r w:rsidR="00B90AAD" w:rsidRPr="003D19A2">
        <w:rPr>
          <w:lang w:eastAsia="x-none"/>
        </w:rPr>
        <w:t xml:space="preserve"> their human dignity.</w:t>
      </w:r>
    </w:p>
    <w:p w:rsidR="00B90AAD" w:rsidRPr="00B90AAD" w:rsidRDefault="0051548B" w:rsidP="00901500">
      <w:pPr>
        <w:pStyle w:val="Newparagraph"/>
      </w:pPr>
      <w:r>
        <w:t>I</w:t>
      </w:r>
      <w:r w:rsidR="00901500">
        <w:t xml:space="preserve">n </w:t>
      </w:r>
      <w:r w:rsidR="00B90AAD" w:rsidRPr="003D19A2">
        <w:rPr>
          <w:lang w:eastAsia="x-none"/>
        </w:rPr>
        <w:t>a contract law setting, this notion of human dignity requires that even freely concluded contracts must be tested for conformity to human dignity.</w:t>
      </w:r>
      <w:bookmarkStart w:id="25" w:name="_Ref517439213"/>
      <w:r w:rsidR="00B90AAD" w:rsidRPr="003D19A2">
        <w:rPr>
          <w:rStyle w:val="FootnoteReference"/>
          <w:lang w:eastAsia="x-none"/>
        </w:rPr>
        <w:footnoteReference w:id="39"/>
      </w:r>
      <w:bookmarkEnd w:id="25"/>
      <w:r w:rsidR="00B90AAD" w:rsidRPr="003D19A2">
        <w:rPr>
          <w:lang w:eastAsia="x-none"/>
        </w:rPr>
        <w:t xml:space="preserve"> Thus, this conception of human dignity is in line with the socialist values expressed in modern law of contract which make place for state intervention in contracts.</w:t>
      </w:r>
      <w:r w:rsidR="00B90AAD" w:rsidRPr="003D19A2">
        <w:rPr>
          <w:rStyle w:val="FootnoteReference"/>
          <w:lang w:eastAsia="x-none"/>
        </w:rPr>
        <w:footnoteReference w:id="40"/>
      </w:r>
    </w:p>
    <w:p w:rsidR="008C481F" w:rsidRPr="008C481F" w:rsidRDefault="008C481F" w:rsidP="00333385">
      <w:pPr>
        <w:pStyle w:val="Heading2"/>
        <w:ind w:right="30"/>
        <w:jc w:val="both"/>
        <w:rPr>
          <w:lang w:val="en-ZA"/>
        </w:rPr>
      </w:pPr>
      <w:r>
        <w:rPr>
          <w:lang w:val="en-ZA"/>
        </w:rPr>
        <w:lastRenderedPageBreak/>
        <w:t xml:space="preserve">C </w:t>
      </w:r>
      <w:r w:rsidR="001D606D">
        <w:rPr>
          <w:lang w:val="en-ZA"/>
        </w:rPr>
        <w:t>T</w:t>
      </w:r>
      <w:r>
        <w:rPr>
          <w:lang w:val="en-ZA"/>
        </w:rPr>
        <w:t xml:space="preserve">ension </w:t>
      </w:r>
      <w:r w:rsidR="00932D9E">
        <w:rPr>
          <w:lang w:val="en-ZA"/>
        </w:rPr>
        <w:t>resulting from</w:t>
      </w:r>
      <w:r w:rsidR="005567DA">
        <w:rPr>
          <w:lang w:val="en-ZA"/>
        </w:rPr>
        <w:t xml:space="preserve"> the dualistic approach to human dignity</w:t>
      </w:r>
    </w:p>
    <w:p w:rsidR="00301042" w:rsidRDefault="00E23367" w:rsidP="00901500">
      <w:pPr>
        <w:pStyle w:val="Paragraph"/>
      </w:pPr>
      <w:r>
        <w:t>In the</w:t>
      </w:r>
      <w:r w:rsidR="00901500" w:rsidRPr="003D19A2">
        <w:t xml:space="preserve"> paradigm </w:t>
      </w:r>
      <w:r>
        <w:t>advanced by</w:t>
      </w:r>
      <w:r w:rsidR="00901500" w:rsidRPr="003D19A2">
        <w:t xml:space="preserve"> Beyleveld and Brownsword, the two notions of human dignity are in tension with each other as they pull in opposite directions.</w:t>
      </w:r>
      <w:r w:rsidR="00901500" w:rsidRPr="003D19A2">
        <w:rPr>
          <w:rStyle w:val="FootnoteReference"/>
          <w:lang w:eastAsia="x-none"/>
        </w:rPr>
        <w:footnoteReference w:id="41"/>
      </w:r>
      <w:r w:rsidR="00901500" w:rsidRPr="003D19A2">
        <w:t xml:space="preserve"> </w:t>
      </w:r>
      <w:r w:rsidR="00450072">
        <w:t>H</w:t>
      </w:r>
      <w:r w:rsidR="00901500" w:rsidRPr="003D19A2">
        <w:t>uman dignity as empowerment supports contractual autonomy while human dignity as constraint results in the limitation of contractual autonomy.</w:t>
      </w:r>
      <w:r w:rsidR="003540F0">
        <w:t xml:space="preserve"> </w:t>
      </w:r>
    </w:p>
    <w:p w:rsidR="00FA433F" w:rsidRDefault="007B798C" w:rsidP="00301042">
      <w:pPr>
        <w:pStyle w:val="Newparagraph"/>
      </w:pPr>
      <w:r>
        <w:t>Brownsword</w:t>
      </w:r>
      <w:r>
        <w:rPr>
          <w:rStyle w:val="FootnoteReference"/>
        </w:rPr>
        <w:footnoteReference w:id="42"/>
      </w:r>
      <w:r>
        <w:t xml:space="preserve"> </w:t>
      </w:r>
      <w:r w:rsidR="00E23367">
        <w:t>illustrates the</w:t>
      </w:r>
      <w:r w:rsidR="00301042">
        <w:t xml:space="preserve"> resulting tension</w:t>
      </w:r>
      <w:r w:rsidR="00301042" w:rsidRPr="003D19A2">
        <w:t xml:space="preserve"> </w:t>
      </w:r>
      <w:r w:rsidR="00E23367">
        <w:t>by relying on</w:t>
      </w:r>
      <w:r w:rsidR="00301042" w:rsidRPr="003D19A2">
        <w:t xml:space="preserve"> the Supreme Court of Israel decision in </w:t>
      </w:r>
      <w:r w:rsidR="00301042" w:rsidRPr="003D19A2">
        <w:rPr>
          <w:i/>
          <w:iCs/>
        </w:rPr>
        <w:t>Jerusalem Community Burial Society v Kestenbaum</w:t>
      </w:r>
      <w:r>
        <w:rPr>
          <w:iCs/>
        </w:rPr>
        <w:t>.</w:t>
      </w:r>
      <w:bookmarkStart w:id="26" w:name="_Ref520142290"/>
      <w:r w:rsidR="00301042" w:rsidRPr="003D19A2">
        <w:rPr>
          <w:rStyle w:val="FootnoteReference"/>
        </w:rPr>
        <w:footnoteReference w:id="43"/>
      </w:r>
      <w:bookmarkEnd w:id="26"/>
      <w:r>
        <w:rPr>
          <w:iCs/>
        </w:rPr>
        <w:t xml:space="preserve"> </w:t>
      </w:r>
      <w:r w:rsidR="00301042" w:rsidRPr="003D19A2">
        <w:t>In this case, the respondent (Mr Kestenbaum) entered into a contract with the appellant (the burial society) for his wife’s funeral arrangements. One of the terms in the standard form of contract signed by Mr Kestenbaum’s brother (on his behalf) provided that the burial society would only engrave their tombstones in characters from the Hebrew alphabet. The respondent, in accordance with his wife’s wishes, requested the appellant to engrave the tombstone with his wife’s name and Gregorian dates of birth and death in Latin characters, which the burial society refused by relying on the above contract term.</w:t>
      </w:r>
      <w:r w:rsidR="00301042" w:rsidRPr="003D19A2">
        <w:rPr>
          <w:rStyle w:val="FootnoteReference"/>
        </w:rPr>
        <w:footnoteReference w:id="44"/>
      </w:r>
      <w:r w:rsidR="00301042" w:rsidRPr="003D19A2">
        <w:t xml:space="preserve"> The majority of the Supreme Court of Appeal annulled the contract term because it held that the term, among other things, infringed upon the respondent’s freedom of expression, conscience and human dignity.</w:t>
      </w:r>
      <w:r w:rsidR="00301042" w:rsidRPr="003D19A2">
        <w:rPr>
          <w:rStyle w:val="FootnoteReference"/>
        </w:rPr>
        <w:footnoteReference w:id="45"/>
      </w:r>
      <w:r w:rsidR="00301042" w:rsidRPr="003D19A2">
        <w:t xml:space="preserve"> In the dissenting judgment, it was held that respect for </w:t>
      </w:r>
      <w:r w:rsidR="00301042" w:rsidRPr="003D19A2">
        <w:lastRenderedPageBreak/>
        <w:t>the free will of the parties to a contract is an essential principle of public policy and should not be departed from except in rare and exceptional cases. As the burial society’s decision to engrave all its tombstones with Hebrew characters promoted the dignity of the cemetery and took account of the feelings of the community members that used it, the dissenting court argued that the term did not negate public policy.</w:t>
      </w:r>
      <w:r w:rsidR="00301042" w:rsidRPr="003D19A2">
        <w:rPr>
          <w:rStyle w:val="FootnoteReference"/>
        </w:rPr>
        <w:footnoteReference w:id="46"/>
      </w:r>
      <w:r w:rsidR="00301042" w:rsidRPr="003D19A2">
        <w:t xml:space="preserve"> Therefore, human dignity was used to argue both for the enforcement and annulment of the contract term</w:t>
      </w:r>
      <w:r w:rsidR="00C052D3">
        <w:t xml:space="preserve"> which leads </w:t>
      </w:r>
      <w:r w:rsidR="00301042" w:rsidRPr="003D19A2">
        <w:t>Brownsword</w:t>
      </w:r>
      <w:r w:rsidR="00C052D3">
        <w:t xml:space="preserve"> to</w:t>
      </w:r>
      <w:r w:rsidR="00301042" w:rsidRPr="003D19A2">
        <w:t xml:space="preserve"> conclude that there is a tension between the two concepts of human dignity.</w:t>
      </w:r>
      <w:r w:rsidR="00301042" w:rsidRPr="003D19A2">
        <w:rPr>
          <w:rStyle w:val="FootnoteReference"/>
        </w:rPr>
        <w:footnoteReference w:id="47"/>
      </w:r>
    </w:p>
    <w:p w:rsidR="00FA433F" w:rsidRDefault="00114DDC" w:rsidP="00301042">
      <w:pPr>
        <w:pStyle w:val="Newparagraph"/>
      </w:pPr>
      <w:r>
        <w:t>This</w:t>
      </w:r>
      <w:r w:rsidR="00FA433F" w:rsidRPr="00A865FF">
        <w:t xml:space="preserve"> tension results from the fact that</w:t>
      </w:r>
      <w:r w:rsidR="00702C21">
        <w:t xml:space="preserve"> Brownsword and Beyleveld understand</w:t>
      </w:r>
      <w:r w:rsidR="00FA433F" w:rsidRPr="00A865FF">
        <w:t xml:space="preserve"> human dignity as empowerment </w:t>
      </w:r>
      <w:r w:rsidR="00702C21">
        <w:t xml:space="preserve">to denote </w:t>
      </w:r>
      <w:r w:rsidR="00FA433F" w:rsidRPr="00A865FF">
        <w:t xml:space="preserve">the freedom </w:t>
      </w:r>
      <w:r w:rsidR="00A865FF">
        <w:t xml:space="preserve">of a person </w:t>
      </w:r>
      <w:r w:rsidR="00FA433F" w:rsidRPr="00A865FF">
        <w:t xml:space="preserve">to make </w:t>
      </w:r>
      <w:r w:rsidR="00A865FF">
        <w:t xml:space="preserve">her </w:t>
      </w:r>
      <w:r w:rsidR="00FA433F" w:rsidRPr="00A865FF">
        <w:t xml:space="preserve">own choices without the interference of others. </w:t>
      </w:r>
      <w:r w:rsidR="00A865FF" w:rsidRPr="00A865FF">
        <w:t xml:space="preserve">The moment </w:t>
      </w:r>
      <w:r w:rsidR="00A865FF">
        <w:t>her</w:t>
      </w:r>
      <w:r w:rsidR="00A865FF" w:rsidRPr="00A865FF">
        <w:t xml:space="preserve"> freedom (human dignity) is constraint to protect the freedom (human dignity) of another, there is a tension between the two persons’ freedom, and therefore, their </w:t>
      </w:r>
      <w:r w:rsidR="00334624">
        <w:t xml:space="preserve">human </w:t>
      </w:r>
      <w:r w:rsidR="00A865FF" w:rsidRPr="00A865FF">
        <w:t xml:space="preserve">dignity. </w:t>
      </w:r>
      <w:r w:rsidR="00A865FF">
        <w:t>In other words, defining human dignity</w:t>
      </w:r>
      <w:r w:rsidR="00334624">
        <w:t xml:space="preserve"> as unconstrained freedom </w:t>
      </w:r>
      <w:r w:rsidR="00A865FF">
        <w:t xml:space="preserve">always results in one </w:t>
      </w:r>
      <w:r w:rsidR="002214D9">
        <w:t xml:space="preserve">contracting </w:t>
      </w:r>
      <w:r w:rsidR="00334624">
        <w:t>party’s</w:t>
      </w:r>
      <w:r w:rsidR="00A865FF">
        <w:t xml:space="preserve"> dignity being protected while the dignity of the other </w:t>
      </w:r>
      <w:r w:rsidR="002214D9">
        <w:t xml:space="preserve">contracting </w:t>
      </w:r>
      <w:r w:rsidR="00A865FF">
        <w:t>party is compromised. And a</w:t>
      </w:r>
      <w:r w:rsidR="00A865FF" w:rsidRPr="00A865FF">
        <w:t>s Brownsword articulates</w:t>
      </w:r>
      <w:r w:rsidR="00A865FF">
        <w:t>,</w:t>
      </w:r>
      <w:r w:rsidR="00A865FF" w:rsidRPr="00A865FF">
        <w:t xml:space="preserve"> the problem is then to explain </w:t>
      </w:r>
      <w:r w:rsidR="002214D9">
        <w:t>why one of the contracting parties ‘</w:t>
      </w:r>
      <w:r w:rsidR="00A865FF">
        <w:t>should b</w:t>
      </w:r>
      <w:r w:rsidR="00A865FF" w:rsidRPr="00A865FF">
        <w:t>e</w:t>
      </w:r>
      <w:r w:rsidR="002214D9">
        <w:t xml:space="preserve"> empowered at the expense’ of the other</w:t>
      </w:r>
      <w:r w:rsidR="00A865FF">
        <w:t>.</w:t>
      </w:r>
      <w:r w:rsidR="00A865FF">
        <w:rPr>
          <w:rStyle w:val="FootnoteReference"/>
        </w:rPr>
        <w:footnoteReference w:id="48"/>
      </w:r>
      <w:r w:rsidR="00A865FF" w:rsidRPr="00A865FF">
        <w:t xml:space="preserve">   </w:t>
      </w:r>
    </w:p>
    <w:p w:rsidR="003553CD" w:rsidRPr="00A865FF" w:rsidRDefault="003553CD" w:rsidP="001F14FB">
      <w:pPr>
        <w:pStyle w:val="Heading2"/>
        <w:jc w:val="both"/>
      </w:pPr>
      <w:r>
        <w:t>D Reconciling the tension between human dignity as empowerment and constraint</w:t>
      </w:r>
    </w:p>
    <w:p w:rsidR="00752DB7" w:rsidRPr="00752DB7" w:rsidRDefault="00752DB7" w:rsidP="003B71D1">
      <w:pPr>
        <w:pStyle w:val="Paragraph"/>
      </w:pPr>
      <w:r w:rsidRPr="00752DB7">
        <w:t>In</w:t>
      </w:r>
      <w:r>
        <w:t xml:space="preserve"> contrast </w:t>
      </w:r>
      <w:r w:rsidR="003553CD">
        <w:t xml:space="preserve">to Brownsword and Beyleveld’s individualist interpretation of Kantian dignity that </w:t>
      </w:r>
      <w:r w:rsidR="00C375E7">
        <w:t>defines</w:t>
      </w:r>
      <w:r w:rsidR="003553CD">
        <w:t xml:space="preserve"> human dignity as empowerment </w:t>
      </w:r>
      <w:r w:rsidR="00E23367">
        <w:t>as</w:t>
      </w:r>
      <w:r w:rsidR="003553CD">
        <w:t xml:space="preserve"> unconstrained freedom, Cornell proposes a more communitarian interpretation of Kan</w:t>
      </w:r>
      <w:r w:rsidR="00082763">
        <w:t>tian dignity that reconciles the resulting</w:t>
      </w:r>
      <w:r w:rsidR="003553CD">
        <w:t xml:space="preserve"> tension between human dignity as empowerment and constraint.</w:t>
      </w:r>
    </w:p>
    <w:p w:rsidR="00702C21" w:rsidRDefault="001F14FB" w:rsidP="00891077">
      <w:pPr>
        <w:pStyle w:val="Newparagraph"/>
      </w:pPr>
      <w:r w:rsidRPr="001F14FB">
        <w:lastRenderedPageBreak/>
        <w:t>Cornell points out that in order to understand Kantian dignity, it is necessary to understand Kant’s conceptualisation of freedom and autonomy.</w:t>
      </w:r>
      <w:bookmarkStart w:id="27" w:name="_Ref480387249"/>
      <w:r w:rsidRPr="001F14FB">
        <w:rPr>
          <w:vertAlign w:val="superscript"/>
        </w:rPr>
        <w:footnoteReference w:id="49"/>
      </w:r>
      <w:bookmarkEnd w:id="27"/>
      <w:r w:rsidRPr="001F14FB">
        <w:t xml:space="preserve"> According to Kant, freedom is a special type of causality that is a characteristic of human beings to the extent that they are rational.</w:t>
      </w:r>
      <w:r w:rsidRPr="001F14FB">
        <w:rPr>
          <w:vertAlign w:val="superscript"/>
        </w:rPr>
        <w:footnoteReference w:id="50"/>
      </w:r>
      <w:r w:rsidR="00903F85">
        <w:t xml:space="preserve"> </w:t>
      </w:r>
      <w:r w:rsidR="00903F85" w:rsidRPr="00903F85">
        <w:t xml:space="preserve">Kant distinguishes between </w:t>
      </w:r>
      <w:r w:rsidR="00E32A4B">
        <w:t>‘</w:t>
      </w:r>
      <w:r w:rsidR="00903F85" w:rsidRPr="00903F85">
        <w:t>negative</w:t>
      </w:r>
      <w:r w:rsidR="00E32A4B">
        <w:t>’</w:t>
      </w:r>
      <w:r w:rsidR="00903F85" w:rsidRPr="00903F85">
        <w:t xml:space="preserve"> and </w:t>
      </w:r>
      <w:r w:rsidR="00E32A4B">
        <w:t>‘</w:t>
      </w:r>
      <w:r w:rsidR="00903F85" w:rsidRPr="00903F85">
        <w:t>positive</w:t>
      </w:r>
      <w:r w:rsidR="00E32A4B">
        <w:t>’</w:t>
      </w:r>
      <w:r w:rsidR="00903F85" w:rsidRPr="00903F85">
        <w:t xml:space="preserve"> freedom.</w:t>
      </w:r>
      <w:r w:rsidR="00903F85" w:rsidRPr="00903F85">
        <w:rPr>
          <w:vertAlign w:val="superscript"/>
        </w:rPr>
        <w:footnoteReference w:id="51"/>
      </w:r>
      <w:r w:rsidR="00903F85">
        <w:t xml:space="preserve"> N</w:t>
      </w:r>
      <w:r w:rsidR="00903F85" w:rsidRPr="003D19A2">
        <w:t>egative freedom is the ability</w:t>
      </w:r>
      <w:r w:rsidR="00903F85">
        <w:t xml:space="preserve"> of a person</w:t>
      </w:r>
      <w:r w:rsidR="00903F85" w:rsidRPr="003D19A2">
        <w:t xml:space="preserve"> to resist outside influences and </w:t>
      </w:r>
      <w:r w:rsidR="00903F85">
        <w:t>her</w:t>
      </w:r>
      <w:r w:rsidR="00903F85" w:rsidRPr="003D19A2">
        <w:t xml:space="preserve"> own immediate natural impulses and desires </w:t>
      </w:r>
      <w:r w:rsidR="00903F85">
        <w:t>in order to act towards her own ends for her own long term well-being through practical reason</w:t>
      </w:r>
      <w:r w:rsidR="00903F85" w:rsidRPr="003D19A2">
        <w:t>.</w:t>
      </w:r>
      <w:bookmarkStart w:id="28" w:name="_Ref520142623"/>
      <w:r w:rsidR="00903F85" w:rsidRPr="003D19A2">
        <w:rPr>
          <w:rStyle w:val="FootnoteReference"/>
        </w:rPr>
        <w:footnoteReference w:id="52"/>
      </w:r>
      <w:bookmarkEnd w:id="28"/>
      <w:r w:rsidR="00903F85">
        <w:t xml:space="preserve"> </w:t>
      </w:r>
      <w:r w:rsidR="00C052D3">
        <w:t>As Kant defines freedom as</w:t>
      </w:r>
      <w:r w:rsidR="00C052D3" w:rsidRPr="003D19A2">
        <w:t xml:space="preserve"> a type of causality that operates according to a law </w:t>
      </w:r>
      <w:r w:rsidR="00C052D3">
        <w:t xml:space="preserve">and </w:t>
      </w:r>
      <w:r w:rsidR="00C052D3" w:rsidRPr="003D19A2">
        <w:t>cannot be lawless</w:t>
      </w:r>
      <w:r w:rsidR="00C052D3">
        <w:t>,</w:t>
      </w:r>
      <w:r w:rsidR="00C052D3" w:rsidRPr="003D19A2">
        <w:rPr>
          <w:rStyle w:val="FootnoteReference"/>
        </w:rPr>
        <w:footnoteReference w:id="53"/>
      </w:r>
      <w:r w:rsidR="00C052D3">
        <w:t xml:space="preserve"> p</w:t>
      </w:r>
      <w:r w:rsidR="00903F85">
        <w:t xml:space="preserve">ositive freedom </w:t>
      </w:r>
      <w:r w:rsidR="00903F85" w:rsidRPr="003D19A2">
        <w:t>refer</w:t>
      </w:r>
      <w:r w:rsidR="00903F85">
        <w:t>s</w:t>
      </w:r>
      <w:r w:rsidR="00903F85" w:rsidRPr="003D19A2">
        <w:t xml:space="preserve"> to the idea that a free will is the ability to act in accordance with its own laws.</w:t>
      </w:r>
      <w:r w:rsidR="00903F85">
        <w:rPr>
          <w:rStyle w:val="FootnoteReference"/>
        </w:rPr>
        <w:footnoteReference w:id="54"/>
      </w:r>
      <w:r w:rsidR="00903F85" w:rsidRPr="003D19A2">
        <w:t xml:space="preserve"> Accordingly, </w:t>
      </w:r>
      <w:r w:rsidR="00702C21">
        <w:t xml:space="preserve">positive </w:t>
      </w:r>
      <w:r w:rsidR="00903F85" w:rsidRPr="003D19A2">
        <w:t xml:space="preserve">freedom refers to the ability to make decisions in accordance with self-imposed laws. </w:t>
      </w:r>
    </w:p>
    <w:p w:rsidR="00891077" w:rsidRDefault="00702C21" w:rsidP="00891077">
      <w:pPr>
        <w:pStyle w:val="Newparagraph"/>
      </w:pPr>
      <w:r>
        <w:t>Kant’s conceptualisation of positive freedom</w:t>
      </w:r>
      <w:r w:rsidR="00891077" w:rsidRPr="003D19A2">
        <w:t xml:space="preserve"> </w:t>
      </w:r>
      <w:r w:rsidR="00FD2054">
        <w:t xml:space="preserve">should </w:t>
      </w:r>
      <w:r>
        <w:t xml:space="preserve">be </w:t>
      </w:r>
      <w:r w:rsidR="00FD2054">
        <w:t xml:space="preserve">understood in </w:t>
      </w:r>
      <w:r>
        <w:t xml:space="preserve">context of one </w:t>
      </w:r>
      <w:r w:rsidR="00FD2054">
        <w:t xml:space="preserve">of </w:t>
      </w:r>
      <w:r>
        <w:t>his</w:t>
      </w:r>
      <w:r w:rsidR="00FD2054">
        <w:t xml:space="preserve"> ea</w:t>
      </w:r>
      <w:r w:rsidR="00891077" w:rsidRPr="003D19A2">
        <w:t xml:space="preserve">rlier formulations of the categorical imperative, the Formula of Autonomy, which refers to </w:t>
      </w:r>
      <w:r w:rsidR="00E32A4B">
        <w:t>‘</w:t>
      </w:r>
      <w:r w:rsidR="00891077" w:rsidRPr="003D19A2">
        <w:t>the Idea</w:t>
      </w:r>
      <w:r w:rsidR="00891077" w:rsidRPr="003D19A2">
        <w:rPr>
          <w:i/>
          <w:iCs/>
        </w:rPr>
        <w:t xml:space="preserve"> of the will of every rational being as a will which makes universal law</w:t>
      </w:r>
      <w:r w:rsidR="00E32A4B">
        <w:t>’</w:t>
      </w:r>
      <w:r w:rsidR="00891077">
        <w:t>.</w:t>
      </w:r>
      <w:bookmarkStart w:id="29" w:name="_Ref475603833"/>
      <w:r w:rsidR="00891077" w:rsidRPr="003D19A2">
        <w:rPr>
          <w:rStyle w:val="FootnoteReference"/>
        </w:rPr>
        <w:footnoteReference w:id="55"/>
      </w:r>
      <w:bookmarkEnd w:id="29"/>
      <w:r w:rsidR="00FD2054">
        <w:t xml:space="preserve"> </w:t>
      </w:r>
      <w:r w:rsidRPr="00702C21">
        <w:t>F</w:t>
      </w:r>
      <w:r w:rsidR="00891077">
        <w:t>or</w:t>
      </w:r>
      <w:r w:rsidR="00891077" w:rsidRPr="003D19A2">
        <w:t xml:space="preserve"> Kant, autonomy does not refer to the idea that human beings can do what they want without interference from others, but rather, that they are bound only to those laws that they, as rational beings, could lay down unto themselves, provided such laws meet </w:t>
      </w:r>
      <w:r w:rsidR="00891077" w:rsidRPr="003D19A2">
        <w:lastRenderedPageBreak/>
        <w:t>the standard of a universal law.</w:t>
      </w:r>
      <w:r w:rsidR="00891077">
        <w:rPr>
          <w:rStyle w:val="FootnoteReference"/>
        </w:rPr>
        <w:footnoteReference w:id="56"/>
      </w:r>
      <w:r w:rsidR="00891077">
        <w:t xml:space="preserve"> Thus, </w:t>
      </w:r>
      <w:r w:rsidR="00891077" w:rsidRPr="003D19A2">
        <w:t>a free will is a will under moral law</w:t>
      </w:r>
      <w:r w:rsidR="00891077">
        <w:t>.</w:t>
      </w:r>
      <w:r w:rsidR="00891077">
        <w:rPr>
          <w:rStyle w:val="FootnoteReference"/>
        </w:rPr>
        <w:footnoteReference w:id="57"/>
      </w:r>
      <w:r w:rsidR="00891077">
        <w:t xml:space="preserve"> </w:t>
      </w:r>
      <w:r w:rsidR="00C375E7">
        <w:t>Thus</w:t>
      </w:r>
      <w:r w:rsidR="00891077" w:rsidRPr="00891077">
        <w:t>, Cornell’s interpretation of Kant is that freedom can be found only in the realm of morality which means there is no tension between a person’s freedom and subjecting herself to the moral law.</w:t>
      </w:r>
      <w:bookmarkStart w:id="30" w:name="_Ref520142921"/>
      <w:r w:rsidR="00891077" w:rsidRPr="00891077">
        <w:rPr>
          <w:vertAlign w:val="superscript"/>
        </w:rPr>
        <w:footnoteReference w:id="58"/>
      </w:r>
      <w:bookmarkEnd w:id="30"/>
      <w:r w:rsidR="00891077">
        <w:t xml:space="preserve"> </w:t>
      </w:r>
      <w:r w:rsidR="00891077" w:rsidRPr="00891077">
        <w:t>Therefore, Kantian freedom cannot be equated to doing what you want without interference from others. Rather, Kantian freedom is the capacity to lay down moral laws for yourself and being bound by those laws.</w:t>
      </w:r>
    </w:p>
    <w:p w:rsidR="00891077" w:rsidRPr="00891077" w:rsidRDefault="00891077" w:rsidP="00891077">
      <w:pPr>
        <w:pStyle w:val="Newparagraph"/>
      </w:pPr>
      <w:r w:rsidRPr="00891077">
        <w:t>Returning to Beyleveld and Brownsword’s interpretation of Kant, it can be argued that Kantian dignity does not support the conception of human dignity as empowerment which denotes unconstrained freedom.</w:t>
      </w:r>
      <w:r w:rsidR="00EB7B0E" w:rsidRPr="00EB7B0E">
        <w:rPr>
          <w:vertAlign w:val="superscript"/>
        </w:rPr>
        <w:t xml:space="preserve"> </w:t>
      </w:r>
      <w:r w:rsidR="00EB7B0E" w:rsidRPr="00891077">
        <w:rPr>
          <w:vertAlign w:val="superscript"/>
        </w:rPr>
        <w:footnoteReference w:id="59"/>
      </w:r>
      <w:r w:rsidRPr="00891077">
        <w:t xml:space="preserve"> </w:t>
      </w:r>
      <w:r w:rsidR="00C052D3">
        <w:t>Rather, as Cornell argues</w:t>
      </w:r>
      <w:r w:rsidRPr="00891077">
        <w:t xml:space="preserve">, freedom in Kant denotes moral freedom. </w:t>
      </w:r>
      <w:r w:rsidR="00C052D3">
        <w:t xml:space="preserve">Importantly, this does not mean that </w:t>
      </w:r>
      <w:r w:rsidRPr="00891077">
        <w:t xml:space="preserve">Kantian dignity </w:t>
      </w:r>
      <w:r w:rsidR="00C052D3">
        <w:t>denies</w:t>
      </w:r>
      <w:r w:rsidRPr="00891077">
        <w:t xml:space="preserve"> that human beings are autonomous beings who plot their own futures and make their own decisions. However, the freedom to set one’s own ends is a moral freedom. </w:t>
      </w:r>
      <w:r w:rsidR="00C052D3">
        <w:t>A</w:t>
      </w:r>
      <w:r w:rsidRPr="00891077">
        <w:t xml:space="preserve">lthough Beyleveld and Brownsword’s conception of human dignity as constraint </w:t>
      </w:r>
      <w:r w:rsidR="00C052D3">
        <w:t>seems to be</w:t>
      </w:r>
      <w:r w:rsidRPr="00891077">
        <w:t xml:space="preserve"> based on Kantian dignity</w:t>
      </w:r>
      <w:r w:rsidR="00702C21">
        <w:t>,</w:t>
      </w:r>
      <w:r w:rsidRPr="00891077">
        <w:t xml:space="preserve"> it does not reflect that </w:t>
      </w:r>
      <w:r w:rsidR="00C052D3">
        <w:t xml:space="preserve">the constraint is self-imposed and </w:t>
      </w:r>
      <w:r w:rsidR="00B81860">
        <w:t xml:space="preserve">views </w:t>
      </w:r>
      <w:r w:rsidRPr="00891077">
        <w:t xml:space="preserve">such constraint as external and in tension with the freedom </w:t>
      </w:r>
      <w:r>
        <w:t>of the person being constrained.</w:t>
      </w:r>
      <w:bookmarkStart w:id="31" w:name="_Ref479685740"/>
      <w:r w:rsidRPr="00891077">
        <w:rPr>
          <w:vertAlign w:val="superscript"/>
        </w:rPr>
        <w:footnoteReference w:id="60"/>
      </w:r>
      <w:bookmarkEnd w:id="31"/>
      <w:r w:rsidR="00B81860">
        <w:t xml:space="preserve"> Cornell </w:t>
      </w:r>
      <w:r w:rsidR="00EB7B0E">
        <w:t>also reads</w:t>
      </w:r>
      <w:r w:rsidR="00B81860">
        <w:t xml:space="preserve"> Kantian dignity </w:t>
      </w:r>
      <w:r w:rsidR="00EB7B0E">
        <w:t>as being</w:t>
      </w:r>
      <w:r w:rsidR="00B81860">
        <w:t xml:space="preserve"> based on constraint, </w:t>
      </w:r>
      <w:r w:rsidR="00082763">
        <w:t xml:space="preserve">but </w:t>
      </w:r>
      <w:r w:rsidR="00B81860">
        <w:t>this constraint is inte</w:t>
      </w:r>
      <w:r w:rsidR="00702C21">
        <w:t>rnal because it is self-imposed and therefore not in tension with that person’s freedom.</w:t>
      </w:r>
    </w:p>
    <w:p w:rsidR="00903F85" w:rsidRDefault="00B11D34" w:rsidP="00301042">
      <w:pPr>
        <w:pStyle w:val="Newparagraph"/>
      </w:pPr>
      <w:r>
        <w:t xml:space="preserve">The same type of reasoning applies when interpreting Kant’s </w:t>
      </w:r>
      <w:r w:rsidR="00082763">
        <w:t xml:space="preserve">second categorical imperative </w:t>
      </w:r>
      <w:r>
        <w:t xml:space="preserve">that requires that a person should ‘always treat humanity … in the person of </w:t>
      </w:r>
      <w:r>
        <w:lastRenderedPageBreak/>
        <w:t>any other, never simply as a means, but always at the same time as an end</w:t>
      </w:r>
      <w:r w:rsidR="00E32A4B">
        <w:t>’</w:t>
      </w:r>
      <w:r>
        <w:t>.</w:t>
      </w:r>
      <w:r>
        <w:rPr>
          <w:rStyle w:val="FootnoteReference"/>
        </w:rPr>
        <w:footnoteReference w:id="61"/>
      </w:r>
      <w:r>
        <w:t xml:space="preserve"> As pointed out by Wood, treating the humanity of another as an end has a technical meaning:</w:t>
      </w:r>
    </w:p>
    <w:p w:rsidR="00B11D34" w:rsidRPr="00B11D34" w:rsidRDefault="00B11D34" w:rsidP="00B11D34">
      <w:pPr>
        <w:pStyle w:val="Displayedquotation"/>
      </w:pPr>
      <w:r w:rsidRPr="003D19A2">
        <w:t xml:space="preserve">[It] refers to our </w:t>
      </w:r>
      <w:r w:rsidRPr="003D19A2">
        <w:rPr>
          <w:i/>
          <w:iCs/>
        </w:rPr>
        <w:t>rational nature</w:t>
      </w:r>
      <w:r w:rsidRPr="003D19A2">
        <w:t>, and specifically to the capacity to set ends for oneself, devise means to them, combine them into more comprehensive ends, setting priorities among them. Humanity for Kant develops in the social condition, and with it comes the freedom to set ends.</w:t>
      </w:r>
      <w:bookmarkStart w:id="32" w:name="_Ref480215548"/>
      <w:r w:rsidRPr="003D19A2">
        <w:rPr>
          <w:rStyle w:val="FootnoteReference"/>
        </w:rPr>
        <w:footnoteReference w:id="62"/>
      </w:r>
      <w:bookmarkEnd w:id="32"/>
    </w:p>
    <w:p w:rsidR="0089687F" w:rsidRPr="0089687F" w:rsidRDefault="0089687F" w:rsidP="008724F4">
      <w:pPr>
        <w:pStyle w:val="Paragraph"/>
      </w:pPr>
      <w:r w:rsidRPr="003D19A2">
        <w:t>Thus, respect for a person’s humanity as an end in itself would denote respect for a person’s capacity to set ends for herself and choose ways to achieve them in order to lead a purposive life through her practical reason.</w:t>
      </w:r>
      <w:r w:rsidRPr="003D19A2">
        <w:rPr>
          <w:rStyle w:val="FootnoteReference"/>
        </w:rPr>
        <w:footnoteReference w:id="63"/>
      </w:r>
      <w:r w:rsidRPr="003D19A2">
        <w:t xml:space="preserve"> In other words, human dignity requires respect for the unique set of ends that an individual pursues.</w:t>
      </w:r>
      <w:r>
        <w:t xml:space="preserve"> </w:t>
      </w:r>
      <w:r w:rsidRPr="0089687F">
        <w:t>Accordingly, Wood arrives at the following understanding of what it entails to treat humanity in a person as an end in itself:</w:t>
      </w:r>
    </w:p>
    <w:p w:rsidR="0089687F" w:rsidRPr="0089687F" w:rsidRDefault="0089687F" w:rsidP="0089687F">
      <w:pPr>
        <w:pStyle w:val="Displayedquotation"/>
      </w:pPr>
      <w:r w:rsidRPr="0089687F">
        <w:t>I think a more immediate conclusion from the fact that humanity is an end in itself is that human beings should never be treated in a manner that degrades or humiliates them, should not be treated as inferior in status to others, or made subject to the arbitrary will of others, or be deprived of control over their own lives, or excluded from participation in the collective life of the human society to which they belong.</w:t>
      </w:r>
      <w:bookmarkStart w:id="33" w:name="_Ref482604895"/>
      <w:r w:rsidRPr="0089687F">
        <w:rPr>
          <w:vertAlign w:val="superscript"/>
        </w:rPr>
        <w:footnoteReference w:id="64"/>
      </w:r>
      <w:bookmarkEnd w:id="33"/>
      <w:r w:rsidRPr="0089687F">
        <w:t xml:space="preserve"> </w:t>
      </w:r>
    </w:p>
    <w:p w:rsidR="0089687F" w:rsidRPr="0089687F" w:rsidRDefault="0089687F" w:rsidP="0089687F">
      <w:pPr>
        <w:pStyle w:val="Paragraph"/>
      </w:pPr>
      <w:r w:rsidRPr="0089687F">
        <w:t xml:space="preserve">At first glance, Wood’s interpretation of Kant’s second categorical imperative seems to accord with that of Beyleveld and Brownsword because respect for a person’s unique set of ends entails respect for a person’s freedom to make choices without the interference of others. Therefore, the question arises how this interpretation ties in with the idea of </w:t>
      </w:r>
      <w:r w:rsidRPr="0089687F">
        <w:lastRenderedPageBreak/>
        <w:t>Kant’s moral freedom as espoused by Cornell?</w:t>
      </w:r>
      <w:r w:rsidRPr="0089687F">
        <w:rPr>
          <w:vertAlign w:val="superscript"/>
        </w:rPr>
        <w:footnoteReference w:id="65"/>
      </w:r>
      <w:r w:rsidRPr="0089687F">
        <w:t xml:space="preserve"> Woolman </w:t>
      </w:r>
      <w:r w:rsidR="00C052D3">
        <w:t>explains as follows:</w:t>
      </w:r>
    </w:p>
    <w:p w:rsidR="0089687F" w:rsidRPr="0089687F" w:rsidRDefault="0089687F" w:rsidP="0089687F">
      <w:pPr>
        <w:pStyle w:val="Displayedquotation"/>
      </w:pPr>
      <w:r w:rsidRPr="0089687F">
        <w:t xml:space="preserve">While Kant certainly contends that the defining feature of humanity is our capacity to overcome our instincts and that we are only truly free when we are moral, he maintains that we define ourselves – and our humanity – through the rational choice of </w:t>
      </w:r>
      <w:r w:rsidRPr="0089687F">
        <w:rPr>
          <w:i/>
          <w:iCs/>
        </w:rPr>
        <w:t>all</w:t>
      </w:r>
      <w:r w:rsidRPr="0089687F">
        <w:t xml:space="preserve"> our ends and not just those that are explicitly moral. … An individual’s capacity to create meaning generates an entitlement to respect for the unique set of ends that the individual pursues.</w:t>
      </w:r>
      <w:bookmarkStart w:id="34" w:name="_Ref520143309"/>
      <w:r w:rsidRPr="0089687F">
        <w:rPr>
          <w:vertAlign w:val="superscript"/>
        </w:rPr>
        <w:footnoteReference w:id="66"/>
      </w:r>
      <w:bookmarkEnd w:id="34"/>
      <w:r w:rsidRPr="0089687F">
        <w:t xml:space="preserve"> </w:t>
      </w:r>
    </w:p>
    <w:p w:rsidR="0089687F" w:rsidRPr="0089687F" w:rsidRDefault="0089687F" w:rsidP="0089687F">
      <w:pPr>
        <w:pStyle w:val="Paragraph"/>
      </w:pPr>
      <w:r w:rsidRPr="0089687F">
        <w:t xml:space="preserve">From Woolman’s explanation it can be deduced that an individual’s choices should be respected and not be interfered with provided such choices are not immoral. In other words, the freedom to set and pursue ends is still a moral freedom that should not violate the human dignity of others. This means that in pursuit of her own ends, an individual may not treat other human beings as merely a means to her own ends but must always also treat them as ends in themselves. Thus, Kant’s second categorical imperative does not support the idea of unconstrained freedom as reflected in Beyleveld and Brownsword’s idea of human dignity as empowerment. It is a moral freedom subject to the self-imposed constraint not to violate the human dignity of others in setting and pursuing one’s own set of ends. </w:t>
      </w:r>
    </w:p>
    <w:p w:rsidR="00C61EC8" w:rsidRPr="0089687F" w:rsidRDefault="0089687F" w:rsidP="0089687F">
      <w:pPr>
        <w:pStyle w:val="Newparagraph"/>
      </w:pPr>
      <w:r w:rsidRPr="0089687F">
        <w:t>Finally, r</w:t>
      </w:r>
      <w:r w:rsidR="00C61EC8" w:rsidRPr="0089687F">
        <w:t>elying on Kant’s concept of the kingdom of ends,</w:t>
      </w:r>
      <w:bookmarkStart w:id="35" w:name="_Ref520113377"/>
      <w:r w:rsidRPr="0089687F">
        <w:rPr>
          <w:rStyle w:val="FootnoteReference"/>
        </w:rPr>
        <w:footnoteReference w:id="67"/>
      </w:r>
      <w:bookmarkEnd w:id="35"/>
      <w:r w:rsidR="00C61EC8" w:rsidRPr="0089687F">
        <w:t xml:space="preserve"> </w:t>
      </w:r>
      <w:r w:rsidRPr="0089687F">
        <w:t>Cornell maintains that, as rational beings, we not only have the possibility of aligning our own actions with our own ends, but also with the ends of other rational beings.</w:t>
      </w:r>
      <w:bookmarkStart w:id="36" w:name="_Ref481337887"/>
      <w:r w:rsidRPr="0089687F">
        <w:rPr>
          <w:vertAlign w:val="superscript"/>
        </w:rPr>
        <w:footnoteReference w:id="68"/>
      </w:r>
      <w:bookmarkEnd w:id="36"/>
      <w:r w:rsidRPr="0089687F">
        <w:t xml:space="preserve"> She argues that when we harmonise our own ends with the ends of others, we are aspiring to the Kantian ideal of a kingdom of ends.</w:t>
      </w:r>
      <w:r w:rsidRPr="0089687F">
        <w:rPr>
          <w:vertAlign w:val="superscript"/>
        </w:rPr>
        <w:footnoteReference w:id="69"/>
      </w:r>
      <w:r>
        <w:t xml:space="preserve"> She further argues that</w:t>
      </w:r>
      <w:r w:rsidR="00082763">
        <w:t xml:space="preserve"> the</w:t>
      </w:r>
      <w:r>
        <w:t xml:space="preserve"> </w:t>
      </w:r>
      <w:r w:rsidRPr="0089687F">
        <w:t xml:space="preserve">ideal of the kingdom of ends is utilised </w:t>
      </w:r>
      <w:r w:rsidRPr="0089687F">
        <w:lastRenderedPageBreak/>
        <w:t>as a regulative ideal based on a moral social contract.</w:t>
      </w:r>
      <w:bookmarkStart w:id="37" w:name="_Ref520143911"/>
      <w:r w:rsidRPr="0089687F">
        <w:rPr>
          <w:vertAlign w:val="superscript"/>
        </w:rPr>
        <w:footnoteReference w:id="70"/>
      </w:r>
      <w:bookmarkEnd w:id="37"/>
      <w:r w:rsidRPr="0089687F">
        <w:t xml:space="preserve"> She states that when we harmonise our own ends with the ends of others as law-making members in the hypothetical kingdom of ends, we are in fact, reconciling our own freedom with the freedom of others.</w:t>
      </w:r>
      <w:r w:rsidRPr="0089687F">
        <w:rPr>
          <w:vertAlign w:val="superscript"/>
        </w:rPr>
        <w:footnoteReference w:id="71"/>
      </w:r>
      <w:r w:rsidRPr="0089687F">
        <w:t xml:space="preserve"> This is because</w:t>
      </w:r>
      <w:r w:rsidR="00C052D3">
        <w:t xml:space="preserve"> </w:t>
      </w:r>
      <w:r w:rsidRPr="0089687F">
        <w:t>Kantian freedom is internally self-limiting because freedom is equated to autonomy which involves laying down self-imposed moral laws.</w:t>
      </w:r>
      <w:r w:rsidRPr="0089687F">
        <w:rPr>
          <w:vertAlign w:val="superscript"/>
        </w:rPr>
        <w:footnoteReference w:id="72"/>
      </w:r>
      <w:r w:rsidRPr="0089687F">
        <w:t xml:space="preserve"> Therefore, when freedom is viewed in this way, it results in the resolution of the tension between human dignity as empowerment and human dignity as constraint because respecting the dignity of others is represented as a moral law we have imposed </w:t>
      </w:r>
      <w:r w:rsidR="00082763">
        <w:t>up</w:t>
      </w:r>
      <w:r w:rsidRPr="0089687F">
        <w:t>on ourselves as law-making members in the imagined kingdom of ends.</w:t>
      </w:r>
      <w:r w:rsidRPr="0089687F">
        <w:rPr>
          <w:vertAlign w:val="superscript"/>
        </w:rPr>
        <w:footnoteReference w:id="73"/>
      </w:r>
      <w:r w:rsidRPr="0089687F">
        <w:t xml:space="preserve"> Consequently, when we disrespect </w:t>
      </w:r>
      <w:r w:rsidR="000557BD">
        <w:t xml:space="preserve">the dignity of others, in other words </w:t>
      </w:r>
      <w:r w:rsidRPr="0089687F">
        <w:t>their inherent worth as reflected in the fact that they are ends in themselves, we are actually failing to respect our own dignity as law-making members in the hypothetical kingdom of ends.</w:t>
      </w:r>
      <w:r w:rsidRPr="0089687F">
        <w:rPr>
          <w:vertAlign w:val="superscript"/>
        </w:rPr>
        <w:footnoteReference w:id="74"/>
      </w:r>
      <w:r w:rsidRPr="0089687F">
        <w:t xml:space="preserve"> This is because we are not legislating together in a community that aspires to the kingdom of ends, in other words a community where our ends are harmonised with the ends of others, and consequently, we are not free in the individual or collective sense.</w:t>
      </w:r>
      <w:r w:rsidRPr="0089687F">
        <w:rPr>
          <w:vertAlign w:val="superscript"/>
        </w:rPr>
        <w:footnoteReference w:id="75"/>
      </w:r>
      <w:r w:rsidRPr="0089687F">
        <w:t xml:space="preserve"> As previously argued, the duty to respect the </w:t>
      </w:r>
      <w:r w:rsidR="00DF2FAB">
        <w:t xml:space="preserve">human </w:t>
      </w:r>
      <w:r w:rsidRPr="0089687F">
        <w:t xml:space="preserve">dignity of others </w:t>
      </w:r>
      <w:r w:rsidR="00DF2FAB">
        <w:t>is</w:t>
      </w:r>
      <w:r w:rsidRPr="0089687F">
        <w:t xml:space="preserve"> a self-imposed constraint which we are able to exercise as </w:t>
      </w:r>
      <w:r w:rsidR="000557BD">
        <w:t xml:space="preserve">part of our positive freedom </w:t>
      </w:r>
      <w:proofErr w:type="spellStart"/>
      <w:r w:rsidR="000557BD">
        <w:t>ie</w:t>
      </w:r>
      <w:proofErr w:type="spellEnd"/>
      <w:r w:rsidRPr="0089687F">
        <w:t xml:space="preserve"> our capacity to make moral laws as a rational being, and ultimately, it is this capacity for positive freedom that gives us our dignity and our inherent worth.</w:t>
      </w:r>
      <w:r w:rsidRPr="0089687F">
        <w:rPr>
          <w:vertAlign w:val="superscript"/>
        </w:rPr>
        <w:footnoteReference w:id="76"/>
      </w:r>
      <w:r w:rsidRPr="0089687F">
        <w:t xml:space="preserve"> Thus, when we disrespect the dignity of another, we are, in fact, disrespecting our own </w:t>
      </w:r>
      <w:r w:rsidR="00DF2FAB">
        <w:t xml:space="preserve">human </w:t>
      </w:r>
      <w:r w:rsidRPr="0089687F">
        <w:t>dignity.</w:t>
      </w:r>
      <w:r w:rsidRPr="0089687F">
        <w:rPr>
          <w:vertAlign w:val="superscript"/>
        </w:rPr>
        <w:footnoteReference w:id="77"/>
      </w:r>
    </w:p>
    <w:p w:rsidR="0072693E" w:rsidRDefault="00646CD9" w:rsidP="001D606D">
      <w:pPr>
        <w:pStyle w:val="Heading1"/>
      </w:pPr>
      <w:r>
        <w:lastRenderedPageBreak/>
        <w:t xml:space="preserve"> </w:t>
      </w:r>
      <w:r w:rsidR="008C481F">
        <w:t>III</w:t>
      </w:r>
      <w:r w:rsidR="00A8068A">
        <w:t xml:space="preserve"> THE</w:t>
      </w:r>
      <w:bookmarkStart w:id="38" w:name="_GoBack"/>
      <w:bookmarkEnd w:id="38"/>
      <w:r w:rsidR="0072693E">
        <w:t xml:space="preserve"> </w:t>
      </w:r>
      <w:r w:rsidR="00212504">
        <w:t xml:space="preserve">COURT’S APPROACH TO </w:t>
      </w:r>
      <w:r w:rsidR="003A3C14">
        <w:t xml:space="preserve">HUMAN DIGNITY </w:t>
      </w:r>
    </w:p>
    <w:p w:rsidR="009E1878" w:rsidRPr="003D19A2" w:rsidRDefault="009E1878" w:rsidP="00333385">
      <w:pPr>
        <w:pStyle w:val="Paragraph"/>
      </w:pPr>
      <w:r w:rsidRPr="003D19A2">
        <w:t xml:space="preserve">The Court in </w:t>
      </w:r>
      <w:r w:rsidRPr="003D19A2">
        <w:rPr>
          <w:bCs/>
          <w:i/>
          <w:iCs/>
        </w:rPr>
        <w:t>Makwanyane</w:t>
      </w:r>
      <w:r w:rsidRPr="003D19A2">
        <w:t xml:space="preserve"> confirmed that human dignity refers to the intrinsic worth of all human beings which means that they are entitled to equal respect and concern and may not be treated in a degrading or dehumanising way.</w:t>
      </w:r>
      <w:bookmarkStart w:id="39" w:name="_Ref483308807"/>
      <w:r w:rsidRPr="003D19A2">
        <w:rPr>
          <w:rStyle w:val="FootnoteReference"/>
        </w:rPr>
        <w:footnoteReference w:id="78"/>
      </w:r>
      <w:bookmarkEnd w:id="39"/>
      <w:r w:rsidR="000B406D">
        <w:t xml:space="preserve"> </w:t>
      </w:r>
      <w:r w:rsidRPr="003D19A2">
        <w:t xml:space="preserve">Specifically, the Kantian idea that dignity is beyond price and of incalculable worth, as well as Kant’s </w:t>
      </w:r>
      <w:r w:rsidR="00C052D3">
        <w:t>second categorical imperative (</w:t>
      </w:r>
      <w:r w:rsidR="00E32A4B">
        <w:t>‘</w:t>
      </w:r>
      <w:r w:rsidR="008853C6">
        <w:t>Formula of an End in Itself</w:t>
      </w:r>
      <w:r w:rsidR="00E32A4B">
        <w:t>’</w:t>
      </w:r>
      <w:r w:rsidR="00C052D3">
        <w:t>)</w:t>
      </w:r>
      <w:r w:rsidRPr="003D19A2">
        <w:t xml:space="preserve">, was explicitly imported into our constitutional jurisprudence by Justice Ackermann in </w:t>
      </w:r>
      <w:r w:rsidRPr="003D19A2">
        <w:rPr>
          <w:i/>
          <w:iCs/>
        </w:rPr>
        <w:t>Dodo</w:t>
      </w:r>
      <w:r w:rsidRPr="008724F4">
        <w:rPr>
          <w:i/>
        </w:rPr>
        <w:t>.</w:t>
      </w:r>
      <w:bookmarkStart w:id="40" w:name="_Ref474143033"/>
      <w:r w:rsidRPr="003D19A2">
        <w:rPr>
          <w:rStyle w:val="FootnoteReference"/>
        </w:rPr>
        <w:footnoteReference w:id="79"/>
      </w:r>
      <w:bookmarkEnd w:id="40"/>
      <w:r w:rsidR="00EB7B0E">
        <w:rPr>
          <w:i/>
        </w:rPr>
        <w:t xml:space="preserve"> </w:t>
      </w:r>
      <w:r w:rsidRPr="003D19A2">
        <w:t xml:space="preserve">In </w:t>
      </w:r>
      <w:r w:rsidRPr="003D19A2">
        <w:rPr>
          <w:i/>
          <w:iCs/>
        </w:rPr>
        <w:t>Khumalo v Holomisa</w:t>
      </w:r>
      <w:r w:rsidR="007F63B3">
        <w:t xml:space="preserve"> Justice </w:t>
      </w:r>
      <w:r w:rsidRPr="003D19A2">
        <w:t>O’Regan confirmed that human dignity does not only refer to a person’s own self-worth but also how she is valued and treated by the members of the community.</w:t>
      </w:r>
      <w:bookmarkStart w:id="41" w:name="_Ref520144015"/>
      <w:r w:rsidRPr="003D19A2">
        <w:rPr>
          <w:rStyle w:val="FootnoteReference"/>
          <w:bCs/>
        </w:rPr>
        <w:footnoteReference w:id="80"/>
      </w:r>
      <w:bookmarkEnd w:id="41"/>
      <w:r w:rsidRPr="003D19A2">
        <w:t xml:space="preserve"> T</w:t>
      </w:r>
      <w:r w:rsidR="008724F4">
        <w:t>herefore, the C</w:t>
      </w:r>
      <w:r w:rsidRPr="003D19A2">
        <w:t>ourt confirmed the inherent and equal worth of all human beings which result in their entitlement to equal respect and concern.</w:t>
      </w:r>
      <w:bookmarkStart w:id="42" w:name="_Ref520144191"/>
      <w:r w:rsidRPr="003D19A2">
        <w:rPr>
          <w:rStyle w:val="FootnoteReference"/>
          <w:bCs/>
        </w:rPr>
        <w:footnoteReference w:id="81"/>
      </w:r>
      <w:bookmarkEnd w:id="42"/>
      <w:r w:rsidRPr="003D19A2">
        <w:t xml:space="preserve"> </w:t>
      </w:r>
    </w:p>
    <w:p w:rsidR="009E1878" w:rsidRPr="003D19A2" w:rsidRDefault="00333385" w:rsidP="00333385">
      <w:pPr>
        <w:pStyle w:val="Newparagraph"/>
      </w:pPr>
      <w:r>
        <w:t>I</w:t>
      </w:r>
      <w:r w:rsidR="009E1878" w:rsidRPr="003D19A2">
        <w:rPr>
          <w:bCs/>
        </w:rPr>
        <w:t xml:space="preserve">n </w:t>
      </w:r>
      <w:r w:rsidR="009E1878" w:rsidRPr="003D19A2">
        <w:rPr>
          <w:bCs/>
          <w:i/>
          <w:iCs/>
        </w:rPr>
        <w:t>Pillay</w:t>
      </w:r>
      <w:r w:rsidR="00EE2D82">
        <w:rPr>
          <w:bCs/>
          <w:i/>
          <w:iCs/>
        </w:rPr>
        <w:t xml:space="preserve">, </w:t>
      </w:r>
      <w:r w:rsidR="00EE2D82">
        <w:rPr>
          <w:bCs/>
          <w:iCs/>
        </w:rPr>
        <w:t xml:space="preserve">dealing with a school learner’s right to wear a gold nose-stud in accordance with her South Indian family traditions and culture, </w:t>
      </w:r>
      <w:r w:rsidR="00711F0C">
        <w:rPr>
          <w:bCs/>
        </w:rPr>
        <w:t>the C</w:t>
      </w:r>
      <w:r w:rsidR="009E1878" w:rsidRPr="003D19A2">
        <w:rPr>
          <w:bCs/>
        </w:rPr>
        <w:t>ourt further explained what it means to treat human beings as an end in themselves.</w:t>
      </w:r>
      <w:bookmarkStart w:id="43" w:name="_Ref480364663"/>
      <w:r w:rsidR="009E1878" w:rsidRPr="003D19A2">
        <w:rPr>
          <w:rStyle w:val="FootnoteReference"/>
          <w:bCs/>
        </w:rPr>
        <w:footnoteReference w:id="82"/>
      </w:r>
      <w:bookmarkEnd w:id="43"/>
      <w:r w:rsidR="009E1878" w:rsidRPr="003D19A2">
        <w:rPr>
          <w:bCs/>
        </w:rPr>
        <w:t xml:space="preserve"> In the first place, the </w:t>
      </w:r>
      <w:r w:rsidR="00EE2D82">
        <w:rPr>
          <w:bCs/>
        </w:rPr>
        <w:t>C</w:t>
      </w:r>
      <w:r w:rsidR="009E1878" w:rsidRPr="003D19A2">
        <w:rPr>
          <w:bCs/>
        </w:rPr>
        <w:t>ourt emphasised the importance of freedom in defining human dignity</w:t>
      </w:r>
      <w:bookmarkStart w:id="44" w:name="_Ref483827299"/>
      <w:r w:rsidR="009E1878" w:rsidRPr="003D19A2">
        <w:rPr>
          <w:rStyle w:val="FootnoteReference"/>
        </w:rPr>
        <w:footnoteReference w:id="83"/>
      </w:r>
      <w:bookmarkEnd w:id="44"/>
      <w:r w:rsidR="009E1878" w:rsidRPr="003D19A2">
        <w:rPr>
          <w:bCs/>
        </w:rPr>
        <w:t xml:space="preserve"> by quoting from Justice Ackermann’s minority judgment in </w:t>
      </w:r>
      <w:r w:rsidR="009E1878" w:rsidRPr="003D19A2">
        <w:rPr>
          <w:i/>
          <w:iCs/>
        </w:rPr>
        <w:t>Ferreira</w:t>
      </w:r>
      <w:r w:rsidR="009E1878" w:rsidRPr="003D19A2">
        <w:t>:</w:t>
      </w:r>
    </w:p>
    <w:p w:rsidR="009E1878" w:rsidRPr="003D19A2" w:rsidRDefault="009E1878" w:rsidP="00333385">
      <w:pPr>
        <w:pStyle w:val="Displayedquotation"/>
      </w:pPr>
      <w:r w:rsidRPr="003D19A2">
        <w:t xml:space="preserve">Human dignity has little value without freedom; for without freedom personal development and fulfilment are not possible. Without freedom, human dignity is </w:t>
      </w:r>
      <w:r w:rsidRPr="003D19A2">
        <w:lastRenderedPageBreak/>
        <w:t>little more than an abstraction. Freedom and dignity are inseparably linked. To deny people their freedom is to deny them their dignity.</w:t>
      </w:r>
      <w:bookmarkStart w:id="45" w:name="_Ref520144669"/>
      <w:r w:rsidRPr="003D19A2">
        <w:rPr>
          <w:rStyle w:val="FootnoteReference"/>
        </w:rPr>
        <w:footnoteReference w:id="84"/>
      </w:r>
      <w:bookmarkEnd w:id="45"/>
    </w:p>
    <w:p w:rsidR="009E1878" w:rsidRPr="003D19A2" w:rsidRDefault="009E1878" w:rsidP="00333385">
      <w:pPr>
        <w:pStyle w:val="Paragraph"/>
      </w:pPr>
      <w:r w:rsidRPr="003D19A2">
        <w:t>Justice Langa then continued as follows:</w:t>
      </w:r>
    </w:p>
    <w:p w:rsidR="009E1878" w:rsidRPr="003D19A2" w:rsidRDefault="009E1878" w:rsidP="00333385">
      <w:pPr>
        <w:pStyle w:val="Displayedquotation"/>
      </w:pPr>
      <w:r w:rsidRPr="003D19A2">
        <w:t>A necessary element of freedom and of dignity of any individual is an ‘entitlement to respect for the unique set of ends that the individual pursues’. One of those ends is the voluntary religious and cultural practices in which we participate. That we choose voluntarily rather than through a feeling of obligation only enhances the significance of a practice to our autonomy, our identity and our dignity.</w:t>
      </w:r>
      <w:r w:rsidRPr="003D19A2">
        <w:rPr>
          <w:rStyle w:val="FootnoteReference"/>
        </w:rPr>
        <w:footnoteReference w:id="85"/>
      </w:r>
      <w:r w:rsidRPr="003D19A2">
        <w:t xml:space="preserve"> </w:t>
      </w:r>
    </w:p>
    <w:p w:rsidR="009E1878" w:rsidRPr="003D19A2" w:rsidRDefault="009657E6" w:rsidP="00333385">
      <w:pPr>
        <w:pStyle w:val="Paragraph"/>
      </w:pPr>
      <w:r>
        <w:t>The C</w:t>
      </w:r>
      <w:r w:rsidR="009E1878" w:rsidRPr="003D19A2">
        <w:t xml:space="preserve">ourt’s conception of what it means to treat a human being as an end in herself </w:t>
      </w:r>
      <w:r w:rsidR="009E1878" w:rsidRPr="008724F4">
        <w:t>reflects Wood’s interpretation of Kant’s second categorical imperative. As was shown above,</w:t>
      </w:r>
      <w:r w:rsidR="009E1878" w:rsidRPr="008724F4">
        <w:rPr>
          <w:rStyle w:val="FootnoteReference"/>
        </w:rPr>
        <w:footnoteReference w:id="86"/>
      </w:r>
      <w:r w:rsidR="009E1878" w:rsidRPr="008724F4">
        <w:t xml:space="preserve"> </w:t>
      </w:r>
      <w:r w:rsidR="00EE2D82">
        <w:t xml:space="preserve">Wood proposed </w:t>
      </w:r>
      <w:r w:rsidR="009E1878" w:rsidRPr="008724F4">
        <w:t>that treating a person’s humanity as an end in itself entails respecting her capacity to set her own ends and choose ways to achieve them in order to lead a purposive life through her practical reason. In other words, it would entail respecting the unique set of ends a person sets for herself. For Wood, like Beyleveld and Brownsword, this means that the autonomy of a person must be respected by not subjecting another’s arbitrary will onto that person. Furthermore, Wood emphasised that this would include that a person should not be excluded from participating in community life.</w:t>
      </w:r>
      <w:r w:rsidR="009E1878" w:rsidRPr="008724F4">
        <w:rPr>
          <w:rStyle w:val="FootnoteReference"/>
        </w:rPr>
        <w:footnoteReference w:id="87"/>
      </w:r>
      <w:r w:rsidR="009E1878" w:rsidRPr="008724F4">
        <w:t xml:space="preserve"> Hence, respecting a person as an end in herself would include respect for a person’s participation in religious or cultural practices.</w:t>
      </w:r>
      <w:r w:rsidR="009E1878" w:rsidRPr="003D19A2">
        <w:t xml:space="preserve"> </w:t>
      </w:r>
      <w:r w:rsidR="00EE2D82">
        <w:t>In similar fashion, Botha interpreted the C</w:t>
      </w:r>
      <w:r w:rsidR="009E1878" w:rsidRPr="003D19A2">
        <w:t xml:space="preserve">ourt’s finding to mean that respecting a person as an end in herself </w:t>
      </w:r>
      <w:r w:rsidR="00E32A4B">
        <w:t>‘</w:t>
      </w:r>
      <w:r w:rsidR="009E1878" w:rsidRPr="003D19A2">
        <w:t>demands the creation of a space within which individuals are free to forge their own autonomous identities</w:t>
      </w:r>
      <w:r w:rsidR="00E32A4B">
        <w:t>’</w:t>
      </w:r>
      <w:r w:rsidR="009E1878" w:rsidRPr="003D19A2">
        <w:t>.</w:t>
      </w:r>
      <w:r w:rsidR="009E1878" w:rsidRPr="003D19A2">
        <w:rPr>
          <w:rStyle w:val="FootnoteReference"/>
        </w:rPr>
        <w:footnoteReference w:id="88"/>
      </w:r>
      <w:r w:rsidR="008724F4">
        <w:t xml:space="preserve"> The C</w:t>
      </w:r>
      <w:r w:rsidR="009E1878" w:rsidRPr="003D19A2">
        <w:t xml:space="preserve">ourt, therefore, has developed the constitutional value of human dignity to reflect its empowerment conception which denotes a right to the creation of a space in which a person’s human dignity can flourish. In this respect, the court also confirmed the State’s duty to create and protect such a space for individual autonomy as </w:t>
      </w:r>
      <w:r w:rsidR="009E1878" w:rsidRPr="003D19A2">
        <w:lastRenderedPageBreak/>
        <w:t>reflected in the notion of human dignity as constraint.</w:t>
      </w:r>
    </w:p>
    <w:p w:rsidR="009E1878" w:rsidRPr="003D19A2" w:rsidRDefault="00333385" w:rsidP="00333385">
      <w:pPr>
        <w:pStyle w:val="Newparagraph"/>
        <w:rPr>
          <w:bCs/>
        </w:rPr>
      </w:pPr>
      <w:r>
        <w:t>I</w:t>
      </w:r>
      <w:r w:rsidR="009E1878" w:rsidRPr="003D19A2">
        <w:t>n a number of recent cases, the Court has emphasised this link betwe</w:t>
      </w:r>
      <w:r w:rsidR="009657E6">
        <w:t>en human dignity and autonomy. The Court in</w:t>
      </w:r>
      <w:r w:rsidR="009E1878" w:rsidRPr="003D19A2">
        <w:t xml:space="preserve"> </w:t>
      </w:r>
      <w:r w:rsidR="009E1878" w:rsidRPr="003D19A2">
        <w:rPr>
          <w:bCs/>
          <w:i/>
          <w:iCs/>
        </w:rPr>
        <w:t xml:space="preserve">MM v MN </w:t>
      </w:r>
      <w:r w:rsidR="009E1878" w:rsidRPr="003D19A2">
        <w:rPr>
          <w:bCs/>
        </w:rPr>
        <w:t>had to decide (among other things) whether the right to dignity would require a man in a customary marriage to obtain the consent of his existing wife before he could take a second wife.</w:t>
      </w:r>
      <w:bookmarkStart w:id="46" w:name="_Ref520145089"/>
      <w:r w:rsidR="009E1878" w:rsidRPr="003D19A2">
        <w:rPr>
          <w:rStyle w:val="FootnoteReference"/>
          <w:bCs/>
        </w:rPr>
        <w:footnoteReference w:id="89"/>
      </w:r>
      <w:bookmarkEnd w:id="46"/>
      <w:r w:rsidR="009E1878" w:rsidRPr="003D19A2">
        <w:rPr>
          <w:bCs/>
        </w:rPr>
        <w:t xml:space="preserve"> In</w:t>
      </w:r>
      <w:r w:rsidR="009657E6">
        <w:rPr>
          <w:bCs/>
        </w:rPr>
        <w:t xml:space="preserve"> arriving at its decision, the C</w:t>
      </w:r>
      <w:r w:rsidR="009E1878" w:rsidRPr="003D19A2">
        <w:rPr>
          <w:bCs/>
        </w:rPr>
        <w:t>ourt made the following statement:</w:t>
      </w:r>
    </w:p>
    <w:p w:rsidR="009E1878" w:rsidRPr="003D19A2" w:rsidRDefault="009E1878" w:rsidP="00333385">
      <w:pPr>
        <w:pStyle w:val="Displayedquotation"/>
      </w:pPr>
      <w:r w:rsidRPr="003D19A2">
        <w:t>[T]he right to dignity includes the right-bearer’s entitlement to make choices and to take decisions that affect his or her life – the more significant the decision, the greater the entitlement. Autonomy and control over one’s personal circumstances are a fundamental aspect of human dignity.</w:t>
      </w:r>
      <w:r w:rsidRPr="003D19A2">
        <w:rPr>
          <w:rStyle w:val="FootnoteReference"/>
        </w:rPr>
        <w:footnoteReference w:id="90"/>
      </w:r>
    </w:p>
    <w:p w:rsidR="009E1878" w:rsidRPr="003D19A2" w:rsidRDefault="009E1878" w:rsidP="00333385">
      <w:pPr>
        <w:pStyle w:val="Paragraph"/>
      </w:pPr>
      <w:r w:rsidRPr="003D19A2">
        <w:t xml:space="preserve">In </w:t>
      </w:r>
      <w:r w:rsidRPr="00333385">
        <w:rPr>
          <w:i/>
        </w:rPr>
        <w:t xml:space="preserve">Teddy Bear Clinic </w:t>
      </w:r>
      <w:r w:rsidRPr="003D19A2">
        <w:t xml:space="preserve">the </w:t>
      </w:r>
      <w:r w:rsidR="009657E6">
        <w:t>C</w:t>
      </w:r>
      <w:r w:rsidRPr="003D19A2">
        <w:t>ourt stated that human dignity acknowledged the value of a person’s choices.</w:t>
      </w:r>
      <w:r w:rsidRPr="003D19A2">
        <w:rPr>
          <w:rStyle w:val="FootnoteReference"/>
        </w:rPr>
        <w:footnoteReference w:id="91"/>
      </w:r>
      <w:r w:rsidRPr="003D19A2">
        <w:t xml:space="preserve"> And, in </w:t>
      </w:r>
      <w:r w:rsidRPr="00333385">
        <w:rPr>
          <w:bCs/>
          <w:i/>
        </w:rPr>
        <w:t>Barnard</w:t>
      </w:r>
      <w:r w:rsidR="0095055F">
        <w:rPr>
          <w:bCs/>
        </w:rPr>
        <w:t>, Justice Van der Westhuizen</w:t>
      </w:r>
      <w:r w:rsidRPr="003D19A2">
        <w:rPr>
          <w:bCs/>
        </w:rPr>
        <w:t xml:space="preserve"> in his separate but concurring judgment, confirmed that human dignity includes the idea that a person should be permitted to develop their unique talents</w:t>
      </w:r>
      <w:bookmarkStart w:id="47" w:name="_Ref483827507"/>
      <w:r w:rsidRPr="003D19A2">
        <w:rPr>
          <w:rStyle w:val="FootnoteReference"/>
          <w:bCs/>
        </w:rPr>
        <w:footnoteReference w:id="92"/>
      </w:r>
      <w:bookmarkEnd w:id="47"/>
      <w:r w:rsidRPr="003D19A2">
        <w:rPr>
          <w:bCs/>
        </w:rPr>
        <w:t xml:space="preserve"> by quoting the following passage from Justice Ackermann’s minority judgment in </w:t>
      </w:r>
      <w:r w:rsidR="00127BAE">
        <w:rPr>
          <w:i/>
        </w:rPr>
        <w:t>Ferreira</w:t>
      </w:r>
      <w:r w:rsidRPr="003D19A2">
        <w:t>:</w:t>
      </w:r>
    </w:p>
    <w:p w:rsidR="009E1878" w:rsidRPr="003D19A2" w:rsidRDefault="009E1878" w:rsidP="00333385">
      <w:pPr>
        <w:pStyle w:val="Displayedquotation"/>
      </w:pPr>
      <w:r w:rsidRPr="003D19A2">
        <w:rPr>
          <w:lang w:bidi="he-IL"/>
        </w:rPr>
        <w:t xml:space="preserve">Human dignity cannot be fully valued or respected unless individuals are able to develop their humanity, their </w:t>
      </w:r>
      <w:r w:rsidR="00E32A4B">
        <w:rPr>
          <w:lang w:bidi="he-IL"/>
        </w:rPr>
        <w:t>‘</w:t>
      </w:r>
      <w:r w:rsidRPr="003D19A2">
        <w:rPr>
          <w:lang w:bidi="he-IL"/>
        </w:rPr>
        <w:t>humanness</w:t>
      </w:r>
      <w:r w:rsidR="00E32A4B">
        <w:rPr>
          <w:lang w:bidi="he-IL"/>
        </w:rPr>
        <w:t>’</w:t>
      </w:r>
      <w:r w:rsidRPr="003D19A2">
        <w:rPr>
          <w:lang w:bidi="he-IL"/>
        </w:rPr>
        <w:t xml:space="preserve"> to the full extent of its potential. Each human being is uniquely talented. Part of the dignity of every human being is the fact and awareness of this </w:t>
      </w:r>
      <w:r w:rsidRPr="003D19A2">
        <w:t>uniqueness. An individual's human dignity cannot be fully respected or valued unless the individual is permitted to develop his or her unique talents optimally.</w:t>
      </w:r>
      <w:r w:rsidRPr="003D19A2">
        <w:rPr>
          <w:rStyle w:val="FootnoteReference"/>
        </w:rPr>
        <w:footnoteReference w:id="93"/>
      </w:r>
    </w:p>
    <w:p w:rsidR="009E1878" w:rsidRPr="003D19A2" w:rsidRDefault="009E1878" w:rsidP="00333385">
      <w:pPr>
        <w:pStyle w:val="Paragraph"/>
      </w:pPr>
      <w:r w:rsidRPr="003D19A2">
        <w:lastRenderedPageBreak/>
        <w:t xml:space="preserve">Although the Court sees human dignity as creating and promoting a space for the individual to make her own decisions and pursue her own unique set of ends as promoted by the idea of human dignity as empowerment, this does not mean that the individual is viewed </w:t>
      </w:r>
      <w:r w:rsidR="00E32A4B">
        <w:t>‘</w:t>
      </w:r>
      <w:r w:rsidRPr="003D19A2">
        <w:t>as an isolated and unencumbered being</w:t>
      </w:r>
      <w:r w:rsidR="00E32A4B">
        <w:t>’</w:t>
      </w:r>
      <w:r w:rsidRPr="003D19A2">
        <w:t>.</w:t>
      </w:r>
      <w:bookmarkStart w:id="48" w:name="_Ref520145299"/>
      <w:r w:rsidRPr="003D19A2">
        <w:rPr>
          <w:rStyle w:val="FootnoteReference"/>
        </w:rPr>
        <w:footnoteReference w:id="94"/>
      </w:r>
      <w:bookmarkEnd w:id="48"/>
      <w:r w:rsidRPr="003D19A2">
        <w:t xml:space="preserve"> In dealing with the right to privacy in </w:t>
      </w:r>
      <w:r w:rsidRPr="003D19A2">
        <w:rPr>
          <w:i/>
          <w:iCs/>
        </w:rPr>
        <w:t>Bernstein</w:t>
      </w:r>
      <w:r w:rsidRPr="003D19A2">
        <w:t>, Justice Ackermann emphasised the correlating nature of rights and duties:</w:t>
      </w:r>
    </w:p>
    <w:p w:rsidR="009E1878" w:rsidRPr="003D19A2" w:rsidRDefault="009E1878" w:rsidP="00333385">
      <w:pPr>
        <w:pStyle w:val="Displayedquotation"/>
      </w:pPr>
      <w:r w:rsidRPr="002E621D">
        <w:rPr>
          <w:iCs/>
        </w:rPr>
        <w:t>The truism that no right is to be considered absolute implies that from the outset of interpretation each right is always already limited by every other right accruing to another citizen.</w:t>
      </w:r>
      <w:r w:rsidRPr="002E621D">
        <w:t xml:space="preserve"> … This</w:t>
      </w:r>
      <w:r w:rsidRPr="003D19A2">
        <w:t xml:space="preserve"> implies that community rights and the rights of fellow members place a corresponding obligation on a citizen. </w:t>
      </w:r>
      <w:r w:rsidRPr="003D19A2">
        <w:rPr>
          <w:rStyle w:val="FootnoteReference"/>
        </w:rPr>
        <w:footnoteReference w:id="95"/>
      </w:r>
    </w:p>
    <w:p w:rsidR="009E1878" w:rsidRPr="003D19A2" w:rsidRDefault="009E1878" w:rsidP="00333385">
      <w:pPr>
        <w:pStyle w:val="Paragraph"/>
      </w:pPr>
      <w:r w:rsidRPr="003D19A2">
        <w:t xml:space="preserve">It would seem that Justice Ackermann was influenced by Kantian ethics, specifically Kant’s imagined kingdom of ends as he refers to Kant’s </w:t>
      </w:r>
      <w:r w:rsidR="00E32A4B">
        <w:t>‘</w:t>
      </w:r>
      <w:r w:rsidRPr="003D19A2">
        <w:t>community of humanity</w:t>
      </w:r>
      <w:r w:rsidR="00E32A4B">
        <w:t>’</w:t>
      </w:r>
      <w:r w:rsidRPr="003D19A2">
        <w:t xml:space="preserve"> which </w:t>
      </w:r>
      <w:r w:rsidR="00E32A4B">
        <w:t>‘</w:t>
      </w:r>
      <w:r w:rsidRPr="003D19A2">
        <w:t xml:space="preserve">demands mutual respect as a universal moral duty towards persons as </w:t>
      </w:r>
      <w:r w:rsidRPr="003D19A2">
        <w:rPr>
          <w:i/>
          <w:iCs/>
        </w:rPr>
        <w:t>moral persons</w:t>
      </w:r>
      <w:r w:rsidR="00E32A4B">
        <w:t>’</w:t>
      </w:r>
      <w:r w:rsidRPr="003D19A2">
        <w:t>.</w:t>
      </w:r>
      <w:r w:rsidRPr="003D19A2">
        <w:rPr>
          <w:rStyle w:val="FootnoteReference"/>
        </w:rPr>
        <w:footnoteReference w:id="96"/>
      </w:r>
      <w:r w:rsidR="00EE2D82">
        <w:t xml:space="preserve"> Therefore, </w:t>
      </w:r>
      <w:r w:rsidRPr="003D19A2">
        <w:t>the Court has develope</w:t>
      </w:r>
      <w:r w:rsidR="00EE2D82">
        <w:t xml:space="preserve">d both aspects of human dignity, namely </w:t>
      </w:r>
      <w:r w:rsidRPr="003D19A2">
        <w:t xml:space="preserve">empowerment </w:t>
      </w:r>
      <w:r w:rsidR="00EE2D82">
        <w:t xml:space="preserve">and </w:t>
      </w:r>
      <w:r w:rsidRPr="003D19A2">
        <w:t>constraint, the latter constituting the individual’s correlating duty to respect the human dignity of others.</w:t>
      </w:r>
    </w:p>
    <w:p w:rsidR="00365564" w:rsidRDefault="00333385" w:rsidP="00E60CB2">
      <w:pPr>
        <w:pStyle w:val="Newparagraph"/>
        <w:rPr>
          <w:bCs/>
        </w:rPr>
      </w:pPr>
      <w:r>
        <w:t>T</w:t>
      </w:r>
      <w:r w:rsidR="009E1878" w:rsidRPr="003D19A2">
        <w:t>h</w:t>
      </w:r>
      <w:r w:rsidR="000B406D">
        <w:t xml:space="preserve">e Court has </w:t>
      </w:r>
      <w:r w:rsidR="00E60CB2">
        <w:t xml:space="preserve">also </w:t>
      </w:r>
      <w:r w:rsidR="000B406D">
        <w:t xml:space="preserve">relied on ubuntu to provide more content to the constitutional value of human dignity. </w:t>
      </w:r>
      <w:r w:rsidR="000B406D" w:rsidRPr="00E60CB2">
        <w:t>In</w:t>
      </w:r>
      <w:r w:rsidR="000B406D">
        <w:t xml:space="preserve"> </w:t>
      </w:r>
      <w:r w:rsidR="000B406D" w:rsidRPr="003D19A2">
        <w:rPr>
          <w:bCs/>
          <w:i/>
          <w:iCs/>
        </w:rPr>
        <w:t>Makwanyane</w:t>
      </w:r>
      <w:r w:rsidR="000B406D" w:rsidRPr="003D19A2">
        <w:rPr>
          <w:bCs/>
        </w:rPr>
        <w:t xml:space="preserve">, it was held that ubuntu’s </w:t>
      </w:r>
      <w:r w:rsidR="00E32A4B">
        <w:rPr>
          <w:bCs/>
        </w:rPr>
        <w:t>‘</w:t>
      </w:r>
      <w:r w:rsidR="000B406D" w:rsidRPr="003D19A2">
        <w:rPr>
          <w:bCs/>
        </w:rPr>
        <w:t xml:space="preserve">spirit </w:t>
      </w:r>
      <w:r w:rsidR="000B406D" w:rsidRPr="003D19A2">
        <w:t>emphasises respect for human dignity</w:t>
      </w:r>
      <w:r w:rsidR="00E32A4B">
        <w:t>’</w:t>
      </w:r>
      <w:r w:rsidR="000B406D" w:rsidRPr="003D19A2">
        <w:t>,</w:t>
      </w:r>
      <w:r w:rsidR="000B406D" w:rsidRPr="003D19A2">
        <w:rPr>
          <w:rStyle w:val="FootnoteReference"/>
        </w:rPr>
        <w:footnoteReference w:id="97"/>
      </w:r>
      <w:r w:rsidR="000B406D" w:rsidRPr="003D19A2">
        <w:t xml:space="preserve"> and that </w:t>
      </w:r>
      <w:r w:rsidR="00E32A4B">
        <w:t>‘</w:t>
      </w:r>
      <w:r w:rsidR="000B406D" w:rsidRPr="003D19A2">
        <w:t>[r]espect for the dignity of every person</w:t>
      </w:r>
      <w:r w:rsidR="00E32A4B">
        <w:t>’</w:t>
      </w:r>
      <w:r w:rsidR="000B406D" w:rsidRPr="003D19A2">
        <w:t xml:space="preserve"> is an integral aspect thereof</w:t>
      </w:r>
      <w:r w:rsidR="00E60CB2">
        <w:t>.</w:t>
      </w:r>
      <w:r w:rsidR="000B406D" w:rsidRPr="003D19A2">
        <w:rPr>
          <w:rStyle w:val="FootnoteReference"/>
        </w:rPr>
        <w:footnoteReference w:id="98"/>
      </w:r>
      <w:r w:rsidR="00E60CB2" w:rsidRPr="00E60CB2">
        <w:t xml:space="preserve"> </w:t>
      </w:r>
      <w:r w:rsidR="00E60CB2" w:rsidRPr="003D19A2">
        <w:t>Since then, the Court has reiterated this link between ubuntu and human dignity on a number of occasions</w:t>
      </w:r>
      <w:bookmarkStart w:id="49" w:name="_Ref520145550"/>
      <w:r w:rsidR="00E60CB2" w:rsidRPr="003D19A2">
        <w:rPr>
          <w:rStyle w:val="FootnoteReference"/>
        </w:rPr>
        <w:footnoteReference w:id="99"/>
      </w:r>
      <w:bookmarkEnd w:id="49"/>
      <w:r w:rsidR="00E60CB2" w:rsidRPr="003D19A2">
        <w:t xml:space="preserve"> and</w:t>
      </w:r>
      <w:r w:rsidR="00E60CB2">
        <w:t xml:space="preserve"> </w:t>
      </w:r>
      <w:r w:rsidR="000B406D" w:rsidRPr="003D19A2">
        <w:t xml:space="preserve">in </w:t>
      </w:r>
      <w:r w:rsidR="000B406D" w:rsidRPr="003D19A2">
        <w:rPr>
          <w:bCs/>
          <w:i/>
          <w:iCs/>
        </w:rPr>
        <w:t>Hoffmann v South African Airways</w:t>
      </w:r>
      <w:r w:rsidR="00E60CB2">
        <w:rPr>
          <w:bCs/>
        </w:rPr>
        <w:t xml:space="preserve"> it was stated </w:t>
      </w:r>
      <w:r w:rsidR="000B406D" w:rsidRPr="003D19A2">
        <w:rPr>
          <w:bCs/>
        </w:rPr>
        <w:t xml:space="preserve">that </w:t>
      </w:r>
      <w:r w:rsidR="00E32A4B">
        <w:rPr>
          <w:bCs/>
        </w:rPr>
        <w:t>‘</w:t>
      </w:r>
      <w:r w:rsidR="000B406D" w:rsidRPr="003D19A2">
        <w:rPr>
          <w:bCs/>
        </w:rPr>
        <w:t>[</w:t>
      </w:r>
      <w:r w:rsidR="000B406D" w:rsidRPr="003D19A2">
        <w:rPr>
          <w:bCs/>
          <w:i/>
          <w:iCs/>
        </w:rPr>
        <w:t>u</w:t>
      </w:r>
      <w:r w:rsidR="000B406D" w:rsidRPr="003D19A2">
        <w:rPr>
          <w:bCs/>
        </w:rPr>
        <w:t>]</w:t>
      </w:r>
      <w:r w:rsidR="000B406D" w:rsidRPr="003D19A2">
        <w:rPr>
          <w:bCs/>
          <w:i/>
          <w:iCs/>
        </w:rPr>
        <w:t>buntu</w:t>
      </w:r>
      <w:r w:rsidR="000B406D" w:rsidRPr="003D19A2">
        <w:rPr>
          <w:bCs/>
        </w:rPr>
        <w:t xml:space="preserve"> is the recognition of human worth and respect for the dignity of </w:t>
      </w:r>
      <w:r w:rsidR="000B406D" w:rsidRPr="003D19A2">
        <w:rPr>
          <w:bCs/>
        </w:rPr>
        <w:lastRenderedPageBreak/>
        <w:t>every person</w:t>
      </w:r>
      <w:r w:rsidR="00E32A4B">
        <w:rPr>
          <w:bCs/>
        </w:rPr>
        <w:t>’</w:t>
      </w:r>
      <w:r w:rsidR="000B406D" w:rsidRPr="003D19A2">
        <w:rPr>
          <w:bCs/>
        </w:rPr>
        <w:t>.</w:t>
      </w:r>
      <w:r w:rsidR="000B406D" w:rsidRPr="003D19A2">
        <w:rPr>
          <w:rStyle w:val="FootnoteReference"/>
          <w:bCs/>
        </w:rPr>
        <w:footnoteReference w:id="100"/>
      </w:r>
      <w:r w:rsidR="000B406D" w:rsidRPr="003D19A2">
        <w:rPr>
          <w:bCs/>
        </w:rPr>
        <w:t xml:space="preserve"> </w:t>
      </w:r>
      <w:r w:rsidR="00365564">
        <w:rPr>
          <w:bCs/>
        </w:rPr>
        <w:t xml:space="preserve">In this respect, ubuntu and Kantian dignity are similar in that </w:t>
      </w:r>
      <w:r w:rsidR="002E621D">
        <w:rPr>
          <w:bCs/>
        </w:rPr>
        <w:t>they recognise</w:t>
      </w:r>
      <w:r w:rsidR="00365564">
        <w:rPr>
          <w:bCs/>
        </w:rPr>
        <w:t xml:space="preserve"> the inherent human worth of each person and requires respect for the human dignity of a person. </w:t>
      </w:r>
    </w:p>
    <w:p w:rsidR="00365564" w:rsidRDefault="00E60CB2" w:rsidP="00365564">
      <w:pPr>
        <w:pStyle w:val="Newparagraph"/>
      </w:pPr>
      <w:r>
        <w:t>Furthermore, ubuntu</w:t>
      </w:r>
      <w:r w:rsidR="00365564">
        <w:t xml:space="preserve"> (like Kantian dignity)</w:t>
      </w:r>
      <w:r>
        <w:t xml:space="preserve"> also emphasises the link between human dignity and morality. According to Justice Mokgoro, </w:t>
      </w:r>
      <w:r w:rsidR="00C375E7">
        <w:t>ubuntu</w:t>
      </w:r>
      <w:r>
        <w:t xml:space="preserve"> denotes </w:t>
      </w:r>
      <w:r w:rsidR="00E32A4B">
        <w:t>‘</w:t>
      </w:r>
      <w:r>
        <w:rPr>
          <w:i/>
        </w:rPr>
        <w:t>humaneness</w:t>
      </w:r>
      <w:r w:rsidR="00E32A4B">
        <w:t>’</w:t>
      </w:r>
      <w:r>
        <w:t xml:space="preserve"> and can be translated as </w:t>
      </w:r>
      <w:r w:rsidR="00E32A4B">
        <w:t>‘</w:t>
      </w:r>
      <w:r>
        <w:rPr>
          <w:i/>
        </w:rPr>
        <w:t>personhood</w:t>
      </w:r>
      <w:r>
        <w:t xml:space="preserve"> and </w:t>
      </w:r>
      <w:r>
        <w:rPr>
          <w:i/>
        </w:rPr>
        <w:t>morality</w:t>
      </w:r>
      <w:r w:rsidR="00E32A4B">
        <w:t>’</w:t>
      </w:r>
      <w:r>
        <w:t>.</w:t>
      </w:r>
      <w:r>
        <w:rPr>
          <w:rStyle w:val="FootnoteReference"/>
          <w:bCs/>
        </w:rPr>
        <w:footnoteReference w:id="101"/>
      </w:r>
      <w:r>
        <w:t xml:space="preserve"> </w:t>
      </w:r>
      <w:r w:rsidRPr="003D19A2">
        <w:t>Cornell</w:t>
      </w:r>
      <w:r w:rsidRPr="003D19A2">
        <w:rPr>
          <w:lang w:bidi="he-IL"/>
        </w:rPr>
        <w:t xml:space="preserve"> and Muvangua </w:t>
      </w:r>
      <w:r w:rsidR="00365564">
        <w:rPr>
          <w:lang w:bidi="he-IL"/>
        </w:rPr>
        <w:t>explain</w:t>
      </w:r>
      <w:r w:rsidRPr="003D19A2">
        <w:rPr>
          <w:lang w:bidi="he-IL"/>
        </w:rPr>
        <w:t xml:space="preserve"> that the reason why Justice Mokgoro links the term </w:t>
      </w:r>
      <w:r w:rsidR="00E32A4B">
        <w:rPr>
          <w:lang w:bidi="he-IL"/>
        </w:rPr>
        <w:t>‘</w:t>
      </w:r>
      <w:r w:rsidRPr="003D19A2">
        <w:rPr>
          <w:lang w:bidi="he-IL"/>
        </w:rPr>
        <w:t>humaneness</w:t>
      </w:r>
      <w:r w:rsidR="00E32A4B">
        <w:rPr>
          <w:lang w:bidi="he-IL"/>
        </w:rPr>
        <w:t>’</w:t>
      </w:r>
      <w:r w:rsidRPr="003D19A2">
        <w:rPr>
          <w:lang w:bidi="he-IL"/>
        </w:rPr>
        <w:t xml:space="preserve"> to personhood and morality is to denote how a person’s development into a unique being (his personhood) is inseparable from her moral development.</w:t>
      </w:r>
      <w:bookmarkStart w:id="50" w:name="_Ref520145745"/>
      <w:r w:rsidRPr="003D19A2">
        <w:rPr>
          <w:rStyle w:val="FootnoteReference"/>
          <w:lang w:bidi="he-IL"/>
        </w:rPr>
        <w:footnoteReference w:id="102"/>
      </w:r>
      <w:bookmarkEnd w:id="50"/>
      <w:r w:rsidRPr="003D19A2">
        <w:rPr>
          <w:lang w:bidi="he-IL"/>
        </w:rPr>
        <w:t xml:space="preserve"> </w:t>
      </w:r>
      <w:r w:rsidR="00365564">
        <w:rPr>
          <w:lang w:bidi="he-IL"/>
        </w:rPr>
        <w:t>T</w:t>
      </w:r>
      <w:r w:rsidR="00365564" w:rsidRPr="003D19A2">
        <w:rPr>
          <w:lang w:bidi="he-IL"/>
        </w:rPr>
        <w:t xml:space="preserve">his leads Cornell to argue that a person’s dignity is rooted in her personhood (uniqueness) and her embeddedness in the community which is in contrast to Kantian dignity which is based on the </w:t>
      </w:r>
      <w:r w:rsidR="00365564" w:rsidRPr="003D19A2">
        <w:t>capacity for rationality.</w:t>
      </w:r>
      <w:bookmarkStart w:id="51" w:name="_Ref520145847"/>
      <w:r w:rsidR="00365564" w:rsidRPr="003D19A2">
        <w:rPr>
          <w:rStyle w:val="FootnoteReference"/>
          <w:lang w:eastAsia="x-none"/>
        </w:rPr>
        <w:footnoteReference w:id="103"/>
      </w:r>
      <w:bookmarkEnd w:id="51"/>
    </w:p>
    <w:p w:rsidR="00E60CB2" w:rsidRPr="003D19A2" w:rsidRDefault="00F30846" w:rsidP="00365564">
      <w:pPr>
        <w:pStyle w:val="Newparagraph"/>
      </w:pPr>
      <w:r>
        <w:t>Since</w:t>
      </w:r>
      <w:r w:rsidR="00E60CB2" w:rsidRPr="003D19A2">
        <w:t xml:space="preserve"> the community must respect and support the moral development of the individual into a unique being, the community has a duty to respect the human dignity of the individual. In the same way, the individual has a duty to respect the human dignity of the other community members. As </w:t>
      </w:r>
      <w:r>
        <w:t>explained by</w:t>
      </w:r>
      <w:r w:rsidR="00E60CB2" w:rsidRPr="003D19A2">
        <w:t xml:space="preserve"> Justice Langa in </w:t>
      </w:r>
      <w:r w:rsidR="00E60CB2" w:rsidRPr="003D19A2">
        <w:rPr>
          <w:i/>
          <w:iCs/>
        </w:rPr>
        <w:t>Makwanyane</w:t>
      </w:r>
      <w:r w:rsidR="00E60CB2" w:rsidRPr="003D19A2">
        <w:t>:</w:t>
      </w:r>
    </w:p>
    <w:p w:rsidR="00E60CB2" w:rsidRPr="003D19A2" w:rsidRDefault="00E60CB2" w:rsidP="00365564">
      <w:pPr>
        <w:pStyle w:val="Displayedquotation"/>
      </w:pPr>
      <w:r w:rsidRPr="003D19A2">
        <w:t>It is a culture which places some emphasis on communality and on the interdependence of the members of a community. It recognises a person’s status as a human being, entitled to unconditional respect, dignity, value and acceptance from the members of the community such person happens to be part of. It also entails the converse however. The person has a corresponding duty to give the same respect, dignity, value and acceptance to each member of that community.</w:t>
      </w:r>
      <w:r w:rsidRPr="003D19A2">
        <w:rPr>
          <w:rStyle w:val="FootnoteReference"/>
        </w:rPr>
        <w:footnoteReference w:id="104"/>
      </w:r>
    </w:p>
    <w:p w:rsidR="00C97A5A" w:rsidRDefault="005A4F53" w:rsidP="00614741">
      <w:pPr>
        <w:pStyle w:val="Newparagraph"/>
        <w:rPr>
          <w:lang w:bidi="he-IL"/>
        </w:rPr>
      </w:pPr>
      <w:r w:rsidRPr="003D19A2">
        <w:rPr>
          <w:lang w:bidi="he-IL"/>
        </w:rPr>
        <w:lastRenderedPageBreak/>
        <w:t xml:space="preserve">Therefore, </w:t>
      </w:r>
      <w:r w:rsidR="00C97A5A">
        <w:rPr>
          <w:lang w:bidi="he-IL"/>
        </w:rPr>
        <w:t xml:space="preserve">like Kantian dignity, </w:t>
      </w:r>
      <w:r w:rsidRPr="003D19A2">
        <w:t xml:space="preserve">ubuntu </w:t>
      </w:r>
      <w:r w:rsidR="00C375E7">
        <w:t>supports</w:t>
      </w:r>
      <w:r w:rsidR="00C97A5A">
        <w:t xml:space="preserve"> the </w:t>
      </w:r>
      <w:r w:rsidRPr="003D19A2">
        <w:rPr>
          <w:lang w:bidi="he-IL"/>
        </w:rPr>
        <w:t xml:space="preserve">idea of human dignity as constraint as reflected in the correlating duty </w:t>
      </w:r>
      <w:r w:rsidR="00365564">
        <w:rPr>
          <w:lang w:bidi="he-IL"/>
        </w:rPr>
        <w:t xml:space="preserve">of an individual </w:t>
      </w:r>
      <w:r w:rsidRPr="003D19A2">
        <w:rPr>
          <w:lang w:bidi="he-IL"/>
        </w:rPr>
        <w:t>to respect the human dignity of others</w:t>
      </w:r>
      <w:r w:rsidR="00C97A5A">
        <w:rPr>
          <w:lang w:bidi="he-IL"/>
        </w:rPr>
        <w:t>.</w:t>
      </w:r>
      <w:r w:rsidRPr="003D19A2">
        <w:rPr>
          <w:rStyle w:val="FootnoteReference"/>
          <w:lang w:bidi="he-IL"/>
        </w:rPr>
        <w:footnoteReference w:id="105"/>
      </w:r>
      <w:r w:rsidR="00614741">
        <w:rPr>
          <w:lang w:bidi="he-IL"/>
        </w:rPr>
        <w:t xml:space="preserve"> </w:t>
      </w:r>
    </w:p>
    <w:p w:rsidR="009E1878" w:rsidRDefault="00614741" w:rsidP="00614741">
      <w:pPr>
        <w:pStyle w:val="Newparagraph"/>
      </w:pPr>
      <w:r>
        <w:rPr>
          <w:lang w:bidi="he-IL"/>
        </w:rPr>
        <w:t>A beautiful harmonisation between</w:t>
      </w:r>
      <w:r w:rsidR="00C97A5A">
        <w:rPr>
          <w:lang w:bidi="he-IL"/>
        </w:rPr>
        <w:t xml:space="preserve"> the above</w:t>
      </w:r>
      <w:r>
        <w:rPr>
          <w:lang w:bidi="he-IL"/>
        </w:rPr>
        <w:t xml:space="preserve"> ideas as reflected in Kantian dignity and ubuntu </w:t>
      </w:r>
      <w:r>
        <w:t xml:space="preserve">can be found in </w:t>
      </w:r>
      <w:r w:rsidR="009E1878" w:rsidRPr="003D19A2">
        <w:rPr>
          <w:bCs/>
          <w:i/>
          <w:iCs/>
        </w:rPr>
        <w:t>Pillay</w:t>
      </w:r>
      <w:r>
        <w:rPr>
          <w:bCs/>
          <w:iCs/>
        </w:rPr>
        <w:t xml:space="preserve">. The </w:t>
      </w:r>
      <w:r w:rsidR="00365564">
        <w:t xml:space="preserve">Court </w:t>
      </w:r>
      <w:r>
        <w:t>relied upon ubuntu</w:t>
      </w:r>
      <w:r w:rsidR="00365564">
        <w:t xml:space="preserve"> to</w:t>
      </w:r>
      <w:r w:rsidR="009E1878" w:rsidRPr="003D19A2">
        <w:t xml:space="preserve"> emphasise that a person’s moral development into a unique human being can only happen through engagement with other community members, and therefore, that participating in the practices and traditions of the community is inseparably linked to a person’s human dignity.</w:t>
      </w:r>
      <w:r w:rsidR="008724F4" w:rsidRPr="003D19A2">
        <w:rPr>
          <w:rStyle w:val="FootnoteReference"/>
        </w:rPr>
        <w:footnoteReference w:id="106"/>
      </w:r>
      <w:r>
        <w:t xml:space="preserve"> </w:t>
      </w:r>
      <w:r w:rsidR="00F30846">
        <w:t>As seen above, th</w:t>
      </w:r>
      <w:r>
        <w:t xml:space="preserve">e Court </w:t>
      </w:r>
      <w:r w:rsidR="00C97A5A">
        <w:t xml:space="preserve">then also </w:t>
      </w:r>
      <w:r w:rsidR="009E1878" w:rsidRPr="003D19A2">
        <w:t>referred to Kant’s second categorical imperative to promote the idea that human dignity denotes respect for a person’s unique set of ends</w:t>
      </w:r>
      <w:r>
        <w:t>.</w:t>
      </w:r>
      <w:r w:rsidR="009E1878" w:rsidRPr="003D19A2">
        <w:rPr>
          <w:rStyle w:val="FootnoteReference"/>
        </w:rPr>
        <w:footnoteReference w:id="107"/>
      </w:r>
      <w:r w:rsidR="009E1878" w:rsidRPr="003D19A2">
        <w:t xml:space="preserve"> </w:t>
      </w:r>
      <w:r>
        <w:t xml:space="preserve">Therefore, </w:t>
      </w:r>
      <w:r w:rsidR="009E1878" w:rsidRPr="003D19A2">
        <w:t>this case illustrates how both Kantian dignity and ubuntu promote human dignity in a way that protects a person’s individuality and provides a space for that person to pursue her personhood and unique destiny (ubuntu) or her unique set of ends (Kantian dignity) within and through engagement with the community</w:t>
      </w:r>
      <w:r w:rsidR="00C97A5A">
        <w:t xml:space="preserve"> which can only happen when the other community members respect the human dignity of </w:t>
      </w:r>
      <w:r w:rsidR="00C375E7">
        <w:t>another by creating a space for that</w:t>
      </w:r>
      <w:r w:rsidR="00C97A5A">
        <w:t xml:space="preserve"> individual to pursue her unique destiny or ends</w:t>
      </w:r>
      <w:r w:rsidR="009E1878" w:rsidRPr="003D19A2">
        <w:t>.</w:t>
      </w:r>
      <w:r w:rsidR="009E1878" w:rsidRPr="003D19A2">
        <w:rPr>
          <w:rStyle w:val="FootnoteReference"/>
        </w:rPr>
        <w:footnoteReference w:id="108"/>
      </w:r>
      <w:r w:rsidR="009E1878" w:rsidRPr="003D19A2">
        <w:t xml:space="preserve"> </w:t>
      </w:r>
    </w:p>
    <w:p w:rsidR="009E1878" w:rsidRPr="003D19A2" w:rsidRDefault="00C97A5A" w:rsidP="00C97A5A">
      <w:pPr>
        <w:pStyle w:val="Newparagraph"/>
        <w:ind w:firstLine="709"/>
      </w:pPr>
      <w:r>
        <w:rPr>
          <w:lang w:eastAsia="x-none"/>
        </w:rPr>
        <w:t>Ubuntu has proved particularly valuable in infusing</w:t>
      </w:r>
      <w:r w:rsidR="00345F07" w:rsidRPr="003D19A2">
        <w:t xml:space="preserve"> the constit</w:t>
      </w:r>
      <w:r w:rsidR="0092090C">
        <w:t>utional value of human dignity</w:t>
      </w:r>
      <w:r>
        <w:t xml:space="preserve"> with a duty on the</w:t>
      </w:r>
      <w:r w:rsidR="00345F07" w:rsidRPr="003D19A2">
        <w:t xml:space="preserve"> State to promote the realisation of socio-economic rights in order to create the necessary conditions for the realisation of everyone’s human dignity.</w:t>
      </w:r>
      <w:r w:rsidR="00345F07" w:rsidRPr="003D19A2">
        <w:rPr>
          <w:rStyle w:val="FootnoteReference"/>
          <w:lang w:eastAsia="x-none"/>
        </w:rPr>
        <w:footnoteReference w:id="109"/>
      </w:r>
      <w:r w:rsidR="00345F07" w:rsidRPr="003D19A2">
        <w:rPr>
          <w:lang w:eastAsia="x-none"/>
        </w:rPr>
        <w:t xml:space="preserve"> </w:t>
      </w:r>
      <w:r w:rsidR="00381DCD">
        <w:rPr>
          <w:lang w:eastAsia="x-none"/>
        </w:rPr>
        <w:t>It has also</w:t>
      </w:r>
      <w:r>
        <w:rPr>
          <w:lang w:eastAsia="x-none"/>
        </w:rPr>
        <w:t xml:space="preserve"> been argued that </w:t>
      </w:r>
      <w:r w:rsidR="00345F07">
        <w:rPr>
          <w:lang w:eastAsia="x-none"/>
        </w:rPr>
        <w:t xml:space="preserve">ubuntu seems </w:t>
      </w:r>
      <w:r w:rsidR="009E1878" w:rsidRPr="003D19A2">
        <w:t>more appropriate in promoting socio-economic rights</w:t>
      </w:r>
      <w:r w:rsidR="00345F07">
        <w:t xml:space="preserve"> and substantive equality</w:t>
      </w:r>
      <w:r w:rsidR="00711F0C" w:rsidRPr="00711F0C">
        <w:t xml:space="preserve"> </w:t>
      </w:r>
      <w:r w:rsidR="00711F0C" w:rsidRPr="003D19A2">
        <w:t>than Kantian dignity</w:t>
      </w:r>
      <w:r w:rsidR="009E1878" w:rsidRPr="003D19A2">
        <w:t>.</w:t>
      </w:r>
      <w:r w:rsidR="009E1878" w:rsidRPr="003D19A2">
        <w:rPr>
          <w:rStyle w:val="FootnoteReference"/>
        </w:rPr>
        <w:footnoteReference w:id="110"/>
      </w:r>
      <w:r w:rsidR="009E1878" w:rsidRPr="003D19A2">
        <w:t xml:space="preserve"> </w:t>
      </w:r>
    </w:p>
    <w:p w:rsidR="009E1878" w:rsidRPr="003D19A2" w:rsidRDefault="00333385" w:rsidP="00333385">
      <w:pPr>
        <w:pStyle w:val="Newparagraph"/>
        <w:rPr>
          <w:bCs/>
        </w:rPr>
      </w:pPr>
      <w:r w:rsidRPr="008724F4">
        <w:lastRenderedPageBreak/>
        <w:t>M</w:t>
      </w:r>
      <w:r w:rsidR="009E1878" w:rsidRPr="008724F4">
        <w:t xml:space="preserve">ore recently, </w:t>
      </w:r>
      <w:r w:rsidR="00C375E7">
        <w:t xml:space="preserve">in </w:t>
      </w:r>
      <w:r w:rsidR="00C375E7" w:rsidRPr="00C375E7">
        <w:rPr>
          <w:i/>
        </w:rPr>
        <w:t>Barnard</w:t>
      </w:r>
      <w:r w:rsidR="00C375E7">
        <w:t xml:space="preserve">, </w:t>
      </w:r>
      <w:r w:rsidR="00345F07" w:rsidRPr="00C375E7">
        <w:t>Justice</w:t>
      </w:r>
      <w:r w:rsidR="00345F07">
        <w:t xml:space="preserve"> Van der Westhuizen </w:t>
      </w:r>
      <w:r w:rsidR="009E1878" w:rsidRPr="008724F4">
        <w:rPr>
          <w:bCs/>
        </w:rPr>
        <w:t>extended the application of</w:t>
      </w:r>
      <w:r w:rsidR="007F63B3">
        <w:rPr>
          <w:bCs/>
        </w:rPr>
        <w:t xml:space="preserve"> the duties reflected in</w:t>
      </w:r>
      <w:r w:rsidR="009E1878" w:rsidRPr="008724F4">
        <w:rPr>
          <w:bCs/>
        </w:rPr>
        <w:t xml:space="preserve"> human dignity</w:t>
      </w:r>
      <w:r w:rsidR="007F63B3">
        <w:rPr>
          <w:bCs/>
        </w:rPr>
        <w:t xml:space="preserve"> as constraint</w:t>
      </w:r>
      <w:r w:rsidR="009E1878" w:rsidRPr="008724F4">
        <w:rPr>
          <w:bCs/>
        </w:rPr>
        <w:t xml:space="preserve"> to individuals when dealing with substantive equality. He relied on both and ubuntu</w:t>
      </w:r>
      <w:bookmarkStart w:id="52" w:name="_Ref520113903"/>
      <w:r w:rsidR="009E1878" w:rsidRPr="008724F4">
        <w:rPr>
          <w:rStyle w:val="FootnoteReference"/>
          <w:bCs/>
        </w:rPr>
        <w:footnoteReference w:id="111"/>
      </w:r>
      <w:bookmarkEnd w:id="52"/>
      <w:r w:rsidR="009E1878" w:rsidRPr="008724F4">
        <w:rPr>
          <w:bCs/>
        </w:rPr>
        <w:t xml:space="preserve"> </w:t>
      </w:r>
      <w:r w:rsidR="006A006E">
        <w:rPr>
          <w:bCs/>
        </w:rPr>
        <w:t xml:space="preserve">and </w:t>
      </w:r>
      <w:r w:rsidR="006A006E" w:rsidRPr="008724F4">
        <w:rPr>
          <w:bCs/>
        </w:rPr>
        <w:t>Kantian dignity</w:t>
      </w:r>
      <w:r w:rsidR="006A006E" w:rsidRPr="008724F4">
        <w:rPr>
          <w:rStyle w:val="FootnoteReference"/>
          <w:bCs/>
        </w:rPr>
        <w:footnoteReference w:id="112"/>
      </w:r>
      <w:r w:rsidR="006A006E">
        <w:rPr>
          <w:bCs/>
        </w:rPr>
        <w:t xml:space="preserve"> to make the</w:t>
      </w:r>
      <w:r w:rsidR="009E1878" w:rsidRPr="008724F4">
        <w:rPr>
          <w:bCs/>
        </w:rPr>
        <w:t xml:space="preserve"> following statement:</w:t>
      </w:r>
    </w:p>
    <w:p w:rsidR="009E1878" w:rsidRPr="003D19A2" w:rsidRDefault="009E1878" w:rsidP="00333385">
      <w:pPr>
        <w:pStyle w:val="Displayedquotation"/>
      </w:pPr>
      <w:r w:rsidRPr="003D19A2">
        <w:t xml:space="preserve">In the context of socio-economic rights, this Court has affirmed that the responsibility for the difficulties of poverty is shared equally as a community because </w:t>
      </w:r>
      <w:r w:rsidR="00E32A4B">
        <w:t>‘</w:t>
      </w:r>
      <w:r w:rsidRPr="003D19A2">
        <w:t>wealthier members of the community view the minimal well-being of the poor as connected with their well-being and the well-being of the community as a whole</w:t>
      </w:r>
      <w:r w:rsidR="00E32A4B">
        <w:t>’</w:t>
      </w:r>
      <w:r w:rsidRPr="003D19A2">
        <w:t>. This would also hold in the context of substantive equality. First, the way in which individuals interact with social groups and society generally has a direct bearing on their dignity. This is true for members of both advantaged and disadvantaged groups.</w:t>
      </w:r>
      <w:bookmarkStart w:id="53" w:name="_Ref520146250"/>
      <w:r w:rsidR="006A006E" w:rsidRPr="003D19A2">
        <w:rPr>
          <w:rStyle w:val="FootnoteReference"/>
        </w:rPr>
        <w:footnoteReference w:id="113"/>
      </w:r>
      <w:bookmarkEnd w:id="53"/>
      <w:r w:rsidRPr="003D19A2">
        <w:t xml:space="preserve"> Second, this idea also gives effect to another Kantian way of understanding dignity – that it </w:t>
      </w:r>
      <w:r w:rsidR="00E32A4B">
        <w:t>‘</w:t>
      </w:r>
      <w:r w:rsidRPr="003D19A2">
        <w:t>asks us to lay down for ourselves a law that embraces every other individual in a manner that extends beyond the interests of our more parochial selves</w:t>
      </w:r>
      <w:r w:rsidR="00E32A4B">
        <w:t>’</w:t>
      </w:r>
      <w:r w:rsidRPr="003D19A2">
        <w:t>.</w:t>
      </w:r>
      <w:bookmarkStart w:id="54" w:name="_Ref480392802"/>
      <w:r w:rsidRPr="003D19A2">
        <w:rPr>
          <w:rStyle w:val="FootnoteReference"/>
        </w:rPr>
        <w:footnoteReference w:id="114"/>
      </w:r>
      <w:bookmarkEnd w:id="54"/>
    </w:p>
    <w:p w:rsidR="009E1878" w:rsidRDefault="009E1878" w:rsidP="008C0A76">
      <w:pPr>
        <w:pStyle w:val="Paragraph"/>
      </w:pPr>
      <w:r w:rsidRPr="003D19A2">
        <w:t>Thi</w:t>
      </w:r>
      <w:r w:rsidR="009657E6">
        <w:t>s statement indicates that the C</w:t>
      </w:r>
      <w:r w:rsidRPr="003D19A2">
        <w:t>ourt is following the more communitarian interpretation of Kantian dignity as put forward by Cornell.</w:t>
      </w:r>
      <w:r w:rsidRPr="003D19A2">
        <w:rPr>
          <w:rStyle w:val="FootnoteReference"/>
        </w:rPr>
        <w:footnoteReference w:id="115"/>
      </w:r>
      <w:r w:rsidRPr="003D19A2">
        <w:t xml:space="preserve"> </w:t>
      </w:r>
      <w:r w:rsidRPr="008724F4">
        <w:t>She argued that Kantian dignity denotes the capacity to lay down moral laws for ourselve</w:t>
      </w:r>
      <w:r w:rsidR="008C0A76">
        <w:t xml:space="preserve">s and being bound by </w:t>
      </w:r>
      <w:r w:rsidR="008C0A76">
        <w:lastRenderedPageBreak/>
        <w:t xml:space="preserve">those laws. This means that freedom </w:t>
      </w:r>
      <w:r w:rsidRPr="008724F4">
        <w:t xml:space="preserve">can be found only in the realm of morality </w:t>
      </w:r>
      <w:r w:rsidR="008C0A76">
        <w:t>and</w:t>
      </w:r>
      <w:r w:rsidRPr="008724F4">
        <w:t xml:space="preserve"> there is no tension between our freedom and subjecting ourselves to the moral law. Relying on Kant’s </w:t>
      </w:r>
      <w:r w:rsidR="008C0A76">
        <w:t>ideal</w:t>
      </w:r>
      <w:r w:rsidRPr="008724F4">
        <w:t xml:space="preserve"> kingdom of ends, she </w:t>
      </w:r>
      <w:r w:rsidR="008C0A76">
        <w:t>concluded</w:t>
      </w:r>
      <w:r w:rsidRPr="008724F4">
        <w:t xml:space="preserve"> that when we disrespect the dignity of others we are actually failing to respect our own dignit</w:t>
      </w:r>
      <w:r w:rsidR="008C0A76">
        <w:t xml:space="preserve">y as law-making members in the </w:t>
      </w:r>
      <w:r w:rsidRPr="008724F4">
        <w:t>kingdom of ends. These id</w:t>
      </w:r>
      <w:r w:rsidRPr="003D19A2">
        <w:t xml:space="preserve">eas are reflected in Justice van der Westhuizen’s reasoning when he </w:t>
      </w:r>
      <w:r w:rsidR="008C0A76">
        <w:t xml:space="preserve">maintains that substantive equality measures </w:t>
      </w:r>
      <w:r w:rsidR="00E32A4B">
        <w:t>‘</w:t>
      </w:r>
      <w:r w:rsidRPr="003D19A2">
        <w:t>can enhance the dignity of individuals, even those who may be adversely affected by them</w:t>
      </w:r>
      <w:r w:rsidR="00E32A4B">
        <w:t>’</w:t>
      </w:r>
      <w:r w:rsidRPr="003D19A2">
        <w:t>.</w:t>
      </w:r>
      <w:bookmarkStart w:id="55" w:name="_Ref483829196"/>
      <w:r w:rsidRPr="003D19A2">
        <w:rPr>
          <w:rStyle w:val="FootnoteReference"/>
          <w:bCs/>
        </w:rPr>
        <w:footnoteReference w:id="116"/>
      </w:r>
      <w:bookmarkEnd w:id="55"/>
      <w:r w:rsidR="008C0A76">
        <w:t xml:space="preserve"> </w:t>
      </w:r>
    </w:p>
    <w:p w:rsidR="002B79AB" w:rsidRPr="003D19A2" w:rsidRDefault="0016467B" w:rsidP="002B79AB">
      <w:pPr>
        <w:pStyle w:val="Newparagraph"/>
      </w:pPr>
      <w:r>
        <w:t>Likewise, u</w:t>
      </w:r>
      <w:r w:rsidR="008C0A76">
        <w:t xml:space="preserve">buntu also recognises that </w:t>
      </w:r>
      <w:r w:rsidR="008C0A76" w:rsidRPr="003D19A2">
        <w:rPr>
          <w:lang w:bidi="he-IL"/>
        </w:rPr>
        <w:t>the well-being and human dignity of the individual is tied up with the well-being and human dignity of the other community members and</w:t>
      </w:r>
      <w:r w:rsidR="008B11F0">
        <w:rPr>
          <w:lang w:bidi="he-IL"/>
        </w:rPr>
        <w:t xml:space="preserve"> this idea</w:t>
      </w:r>
      <w:r w:rsidR="008C0A76" w:rsidRPr="003D19A2">
        <w:rPr>
          <w:lang w:bidi="he-IL"/>
        </w:rPr>
        <w:t xml:space="preserve"> is sometimes referred to as human dignity as a colle</w:t>
      </w:r>
      <w:r w:rsidR="008C0A76">
        <w:rPr>
          <w:lang w:bidi="he-IL"/>
        </w:rPr>
        <w:t>ctive responsibility or concern.</w:t>
      </w:r>
      <w:r w:rsidR="008C0A76" w:rsidRPr="003D19A2">
        <w:rPr>
          <w:rStyle w:val="FootnoteReference"/>
          <w:lang w:bidi="he-IL"/>
        </w:rPr>
        <w:footnoteReference w:id="117"/>
      </w:r>
      <w:r w:rsidR="008C0A76" w:rsidRPr="003D19A2">
        <w:rPr>
          <w:lang w:bidi="he-IL"/>
        </w:rPr>
        <w:t xml:space="preserve"> </w:t>
      </w:r>
      <w:r w:rsidR="002B79AB">
        <w:rPr>
          <w:lang w:bidi="he-IL"/>
        </w:rPr>
        <w:t xml:space="preserve">For example, </w:t>
      </w:r>
      <w:r w:rsidR="00925915" w:rsidRPr="003D19A2">
        <w:t>Justice Sachs</w:t>
      </w:r>
      <w:r w:rsidR="00925915">
        <w:rPr>
          <w:lang w:bidi="he-IL"/>
        </w:rPr>
        <w:t xml:space="preserve"> </w:t>
      </w:r>
      <w:r w:rsidR="002B79AB">
        <w:rPr>
          <w:lang w:bidi="he-IL"/>
        </w:rPr>
        <w:t xml:space="preserve">in </w:t>
      </w:r>
      <w:r w:rsidR="00925915">
        <w:rPr>
          <w:i/>
          <w:iCs/>
        </w:rPr>
        <w:t>Port Elizabeth</w:t>
      </w:r>
      <w:r w:rsidR="002B79AB">
        <w:rPr>
          <w:iCs/>
        </w:rPr>
        <w:t xml:space="preserve"> </w:t>
      </w:r>
      <w:r w:rsidR="002B79AB" w:rsidRPr="003D19A2">
        <w:t>explicitly relied upon</w:t>
      </w:r>
      <w:r w:rsidR="002B79AB">
        <w:t xml:space="preserve"> ubuntu in stating the following:</w:t>
      </w:r>
    </w:p>
    <w:p w:rsidR="002B79AB" w:rsidRDefault="002B79AB" w:rsidP="002B79AB">
      <w:pPr>
        <w:pStyle w:val="Displayedquotation"/>
      </w:pPr>
      <w:r w:rsidRPr="003D19A2">
        <w:t>It is not only the dignity of the poor that is assailed when homeless people are driven from pillar to post in a desperate quest for a place where they and their families can rest their heads. Our society as a whole is demeaned when state action intensifies rather than mitigates their marginalisation.</w:t>
      </w:r>
      <w:r w:rsidRPr="003D19A2">
        <w:rPr>
          <w:rStyle w:val="FootnoteReference"/>
        </w:rPr>
        <w:footnoteReference w:id="118"/>
      </w:r>
    </w:p>
    <w:p w:rsidR="009E1878" w:rsidRDefault="009E1878" w:rsidP="00333385">
      <w:pPr>
        <w:pStyle w:val="Paragraph"/>
      </w:pPr>
      <w:r w:rsidRPr="003D19A2">
        <w:t>Therefore, it can be argued that the Court is developing the constitutional value of human dignity to include a duty on the individual to assist in the creation of the necessary conditions for the realisation of the human dignity of other community members through the promotion of substantive equality as reflected in the idea of human dignity as constraint</w:t>
      </w:r>
      <w:r w:rsidR="002B79AB">
        <w:t xml:space="preserve">, and has done so </w:t>
      </w:r>
      <w:r w:rsidR="008C0A76">
        <w:t>by drawing from both Kantian dignity and ubuntu</w:t>
      </w:r>
      <w:r w:rsidRPr="003D19A2">
        <w:t>.</w:t>
      </w:r>
      <w:r w:rsidR="006A006E">
        <w:t xml:space="preserve"> </w:t>
      </w:r>
    </w:p>
    <w:p w:rsidR="007F63B3" w:rsidRDefault="00813901" w:rsidP="007F63B3">
      <w:pPr>
        <w:pStyle w:val="Newparagraph"/>
      </w:pPr>
      <w:r w:rsidRPr="00813901">
        <w:t>To summarise, the</w:t>
      </w:r>
      <w:r w:rsidR="007F63B3" w:rsidRPr="00813901">
        <w:t xml:space="preserve"> Court </w:t>
      </w:r>
      <w:r w:rsidRPr="00813901">
        <w:t>has</w:t>
      </w:r>
      <w:r>
        <w:t xml:space="preserve"> developed a sophisticated understanding of human dignity endorsing both aspects of human dignity </w:t>
      </w:r>
      <w:r w:rsidR="009657E6">
        <w:t xml:space="preserve">namely </w:t>
      </w:r>
      <w:r>
        <w:t xml:space="preserve">autonomy and constraint through the harmonisation of Kantian dignity and ubuntu. </w:t>
      </w:r>
      <w:r w:rsidR="003C667A">
        <w:t>Furthermore</w:t>
      </w:r>
      <w:r>
        <w:t>, the Court’</w:t>
      </w:r>
      <w:r w:rsidR="003C667A">
        <w:t>s conceptualisation</w:t>
      </w:r>
      <w:r>
        <w:t xml:space="preserve"> of human dignity as constraint denotes </w:t>
      </w:r>
      <w:r w:rsidR="003C667A">
        <w:t>not only</w:t>
      </w:r>
      <w:r>
        <w:t xml:space="preserve"> a duty to respect the human dignity of others </w:t>
      </w:r>
      <w:r w:rsidR="003C667A">
        <w:t>but also to</w:t>
      </w:r>
      <w:r>
        <w:t xml:space="preserve"> share in the responsibility of creating the necessary </w:t>
      </w:r>
      <w:r>
        <w:lastRenderedPageBreak/>
        <w:t>conditions for the realisation of others’ human dignity through the promotion of socio-economic rights and substantive. Mo</w:t>
      </w:r>
      <w:r w:rsidR="00404746">
        <w:t>re</w:t>
      </w:r>
      <w:r>
        <w:t xml:space="preserve"> importantly, these duties are not only the responsibility of the State but also that of </w:t>
      </w:r>
      <w:r w:rsidR="006A006E">
        <w:t xml:space="preserve">the </w:t>
      </w:r>
      <w:r>
        <w:t xml:space="preserve">individual </w:t>
      </w:r>
      <w:r w:rsidR="006A006E">
        <w:t>community members</w:t>
      </w:r>
      <w:r>
        <w:t>.</w:t>
      </w:r>
      <w:r w:rsidR="009750E6">
        <w:t xml:space="preserve"> </w:t>
      </w:r>
    </w:p>
    <w:p w:rsidR="003A3C14" w:rsidRPr="003A3C14" w:rsidRDefault="008C481F" w:rsidP="003A3C14">
      <w:pPr>
        <w:pStyle w:val="Paragraph"/>
        <w:rPr>
          <w:i/>
        </w:rPr>
      </w:pPr>
      <w:r w:rsidRPr="00FD2054">
        <w:t>IV</w:t>
      </w:r>
      <w:r w:rsidR="003A3C14" w:rsidRPr="00FD2054">
        <w:t xml:space="preserve"> </w:t>
      </w:r>
      <w:r w:rsidR="00B007A5">
        <w:t>NECESSARY CONTEXT:</w:t>
      </w:r>
      <w:r w:rsidR="00AE6074">
        <w:t xml:space="preserve"> CONTRACTUAL FAIRNESS PRE- AND POST CONSTITUTION</w:t>
      </w:r>
    </w:p>
    <w:p w:rsidR="00FD2054" w:rsidRDefault="00C57BC1" w:rsidP="008724F4">
      <w:pPr>
        <w:pStyle w:val="Paragraph"/>
      </w:pPr>
      <w:r>
        <w:t xml:space="preserve">To make sense of the </w:t>
      </w:r>
      <w:r w:rsidRPr="00C57BC1">
        <w:rPr>
          <w:i/>
        </w:rPr>
        <w:t>Barkhuizen</w:t>
      </w:r>
      <w:r>
        <w:t xml:space="preserve">, </w:t>
      </w:r>
      <w:r w:rsidRPr="00C57BC1">
        <w:rPr>
          <w:i/>
        </w:rPr>
        <w:t>Bredenkamp</w:t>
      </w:r>
      <w:r>
        <w:t xml:space="preserve"> and </w:t>
      </w:r>
      <w:r w:rsidRPr="00C57BC1">
        <w:rPr>
          <w:i/>
        </w:rPr>
        <w:t>Botha</w:t>
      </w:r>
      <w:r w:rsidR="00D2430E">
        <w:t xml:space="preserve"> trilogy in view of the Court’s approach to human dignity</w:t>
      </w:r>
      <w:r w:rsidR="00536EB3">
        <w:t xml:space="preserve"> as set out above</w:t>
      </w:r>
      <w:r w:rsidR="00D2430E">
        <w:t>,</w:t>
      </w:r>
      <w:r>
        <w:t xml:space="preserve"> it is necessary to place these</w:t>
      </w:r>
      <w:r w:rsidR="00536EB3">
        <w:t xml:space="preserve"> three</w:t>
      </w:r>
      <w:r>
        <w:t xml:space="preserve"> decision</w:t>
      </w:r>
      <w:r w:rsidR="00885DF4">
        <w:t>s</w:t>
      </w:r>
      <w:r w:rsidR="00C443A7">
        <w:t xml:space="preserve"> in the context of the legal position in respect of unfair contract terms immediately</w:t>
      </w:r>
      <w:r w:rsidR="00482ADD">
        <w:t xml:space="preserve"> </w:t>
      </w:r>
      <w:r w:rsidR="00FD2054">
        <w:t>prior to the enactm</w:t>
      </w:r>
      <w:r w:rsidR="00C443A7">
        <w:t>ent of the Constitution</w:t>
      </w:r>
      <w:r w:rsidR="003E16CD">
        <w:t xml:space="preserve"> as well as the most relevant decisions handed down by the Cape Provincial Division and the Supreme Court of Appeal thereafter.</w:t>
      </w:r>
    </w:p>
    <w:p w:rsidR="00C57BC1" w:rsidRDefault="00C57BC1" w:rsidP="001D606D">
      <w:pPr>
        <w:pStyle w:val="Heading2"/>
      </w:pPr>
      <w:r>
        <w:t xml:space="preserve">A </w:t>
      </w:r>
      <w:r w:rsidR="001D606D">
        <w:t>Contractual fairness prior to the constitution: sasfin</w:t>
      </w:r>
    </w:p>
    <w:p w:rsidR="00B20CB9" w:rsidRDefault="00C443A7" w:rsidP="00FB750C">
      <w:pPr>
        <w:pStyle w:val="Paragraph"/>
      </w:pPr>
      <w:r>
        <w:t xml:space="preserve">The </w:t>
      </w:r>
      <w:r w:rsidR="00373BBF">
        <w:t>foremost</w:t>
      </w:r>
      <w:r w:rsidR="00E23367">
        <w:t xml:space="preserve"> </w:t>
      </w:r>
      <w:r>
        <w:t xml:space="preserve">decision dealing with contractual fairness prior to the enactment of the Constitution </w:t>
      </w:r>
      <w:r w:rsidR="00E23367">
        <w:t>is</w:t>
      </w:r>
      <w:r w:rsidR="00373BBF">
        <w:t xml:space="preserve"> </w:t>
      </w:r>
      <w:r>
        <w:rPr>
          <w:i/>
        </w:rPr>
        <w:t>Sasfin</w:t>
      </w:r>
      <w:r>
        <w:t>.</w:t>
      </w:r>
      <w:bookmarkStart w:id="56" w:name="_Ref520149581"/>
      <w:r w:rsidR="00F97B66">
        <w:rPr>
          <w:rStyle w:val="FootnoteReference"/>
        </w:rPr>
        <w:footnoteReference w:id="119"/>
      </w:r>
      <w:bookmarkEnd w:id="56"/>
      <w:r>
        <w:t xml:space="preserve"> </w:t>
      </w:r>
      <w:r w:rsidR="00B20CB9">
        <w:t xml:space="preserve">Although the court did not refer to human dignity expressly, it is possible to fit the court’s reasoning into the theoretical matrix of human dignity as </w:t>
      </w:r>
      <w:r w:rsidR="0016467B">
        <w:t>set out</w:t>
      </w:r>
      <w:r w:rsidR="00B20CB9">
        <w:t xml:space="preserve"> above. </w:t>
      </w:r>
    </w:p>
    <w:p w:rsidR="00FB750C" w:rsidRDefault="00C57BC1" w:rsidP="00B20CB9">
      <w:pPr>
        <w:pStyle w:val="Newparagraph"/>
      </w:pPr>
      <w:r w:rsidRPr="00C57BC1">
        <w:t xml:space="preserve">In </w:t>
      </w:r>
      <w:r w:rsidRPr="00C57BC1">
        <w:rPr>
          <w:i/>
          <w:iCs/>
        </w:rPr>
        <w:t>Sasfin</w:t>
      </w:r>
      <w:r w:rsidRPr="00C57BC1">
        <w:t>, an anaesthetist (Beukes) granted a deed of cession in favour of a finance company (Sasfin) which placed Sasfin in complete control of his earnings. On notice of session to Beukes’ debtors Sasfin would be able to recover all of Beukes’ book debts and retain all amounts recovered, whether or not he owed any money to Sasfin. Beukes was incapable of ending this situation.</w:t>
      </w:r>
      <w:bookmarkStart w:id="57" w:name="_Ref446318096"/>
      <w:r w:rsidRPr="00C57BC1">
        <w:rPr>
          <w:vertAlign w:val="superscript"/>
        </w:rPr>
        <w:footnoteReference w:id="120"/>
      </w:r>
      <w:bookmarkEnd w:id="57"/>
      <w:r w:rsidR="00FB750C">
        <w:t xml:space="preserve"> </w:t>
      </w:r>
    </w:p>
    <w:p w:rsidR="00C57BC1" w:rsidRDefault="00586464" w:rsidP="00FB750C">
      <w:pPr>
        <w:pStyle w:val="Newparagraph"/>
      </w:pPr>
      <w:r w:rsidRPr="00586464">
        <w:t>The court held that where a contract is contrary to public p</w:t>
      </w:r>
      <w:r>
        <w:t>olicy it should not be enforced:</w:t>
      </w:r>
    </w:p>
    <w:p w:rsidR="00586464" w:rsidRPr="00586464" w:rsidRDefault="00586464" w:rsidP="00586464">
      <w:pPr>
        <w:pStyle w:val="Displayedquotation"/>
      </w:pPr>
      <w:r w:rsidRPr="003D19A2">
        <w:t>Agreements which are clearly inimical to the interests of the community, whether they are contrary to law or morality, or run counter to social or economic expedience, will accordingly, on the grounds of public policy, not be enforced.</w:t>
      </w:r>
      <w:r w:rsidRPr="003D19A2">
        <w:rPr>
          <w:rStyle w:val="FootnoteReference"/>
        </w:rPr>
        <w:footnoteReference w:id="121"/>
      </w:r>
    </w:p>
    <w:p w:rsidR="00616011" w:rsidRDefault="00586464" w:rsidP="00844638">
      <w:pPr>
        <w:pStyle w:val="Paragraph"/>
      </w:pPr>
      <w:r w:rsidRPr="003D19A2">
        <w:lastRenderedPageBreak/>
        <w:t>The court stressed that</w:t>
      </w:r>
      <w:r w:rsidR="002A42C7">
        <w:t>, on the one hand,</w:t>
      </w:r>
      <w:r w:rsidRPr="003D19A2">
        <w:t xml:space="preserve"> public policy generally favours freedom and sanctity of contract.</w:t>
      </w:r>
      <w:bookmarkStart w:id="58" w:name="_Ref485737401"/>
      <w:r w:rsidRPr="003D19A2">
        <w:rPr>
          <w:rStyle w:val="FootnoteReference"/>
        </w:rPr>
        <w:footnoteReference w:id="122"/>
      </w:r>
      <w:bookmarkEnd w:id="58"/>
      <w:r w:rsidRPr="003D19A2">
        <w:t xml:space="preserve"> </w:t>
      </w:r>
      <w:r w:rsidR="002A42C7">
        <w:t>As was seen above, this public policy consideration can be viewed as an expression of the idea of human dignity as empowerment that would support the enforcement of the contract.</w:t>
      </w:r>
      <w:r w:rsidR="002A42C7">
        <w:rPr>
          <w:rStyle w:val="FootnoteReference"/>
        </w:rPr>
        <w:footnoteReference w:id="123"/>
      </w:r>
      <w:r w:rsidR="002A42C7">
        <w:t xml:space="preserve"> </w:t>
      </w:r>
    </w:p>
    <w:p w:rsidR="00C030D3" w:rsidRDefault="002A42C7" w:rsidP="00721B13">
      <w:pPr>
        <w:pStyle w:val="Newparagraph"/>
      </w:pPr>
      <w:r>
        <w:t>On the other hand</w:t>
      </w:r>
      <w:r w:rsidR="00586464" w:rsidRPr="003D19A2">
        <w:t>, the court</w:t>
      </w:r>
      <w:r>
        <w:t xml:space="preserve"> stated that it</w:t>
      </w:r>
      <w:r w:rsidR="00586464" w:rsidRPr="003D19A2">
        <w:t xml:space="preserve"> should also take account of </w:t>
      </w:r>
      <w:r w:rsidR="00E32A4B">
        <w:t>‘</w:t>
      </w:r>
      <w:r w:rsidR="00586464" w:rsidRPr="003D19A2">
        <w:t>the doing of simple justice between man and man</w:t>
      </w:r>
      <w:r w:rsidR="00E32A4B">
        <w:t>’</w:t>
      </w:r>
      <w:r w:rsidR="00586464" w:rsidRPr="003D19A2">
        <w:t>.</w:t>
      </w:r>
      <w:bookmarkStart w:id="59" w:name="_Ref482798668"/>
      <w:r w:rsidR="00586464" w:rsidRPr="003D19A2">
        <w:rPr>
          <w:rStyle w:val="FootnoteReference"/>
        </w:rPr>
        <w:footnoteReference w:id="124"/>
      </w:r>
      <w:bookmarkEnd w:id="59"/>
      <w:r w:rsidR="00586464" w:rsidRPr="003D19A2">
        <w:t xml:space="preserve"> </w:t>
      </w:r>
      <w:r>
        <w:t>In this respect, t</w:t>
      </w:r>
      <w:r w:rsidRPr="003D19A2">
        <w:t>he court was of the view that the contract relegated Beukes to the position of a slave</w:t>
      </w:r>
      <w:r>
        <w:t xml:space="preserve"> because he </w:t>
      </w:r>
      <w:r w:rsidR="00E32A4B">
        <w:t>‘</w:t>
      </w:r>
      <w:r w:rsidRPr="003D19A2">
        <w:t>could effectively be deprived of his income and means of support for himself and his family</w:t>
      </w:r>
      <w:r w:rsidR="00E32A4B">
        <w:t>’</w:t>
      </w:r>
      <w:r>
        <w:t xml:space="preserve"> and</w:t>
      </w:r>
      <w:r w:rsidR="00287D5B">
        <w:t xml:space="preserve"> he was unable to end this situation</w:t>
      </w:r>
      <w:r>
        <w:t>.</w:t>
      </w:r>
      <w:r w:rsidRPr="003D19A2">
        <w:rPr>
          <w:rStyle w:val="FootnoteReference"/>
        </w:rPr>
        <w:footnoteReference w:id="125"/>
      </w:r>
      <w:r w:rsidR="00651520">
        <w:t xml:space="preserve"> It could be argued that as the terms of the contract deprived Beukes of control over his life to such an extent that it relegated him to the position of a slave, the contract treated Beukes merely as a means to an end and not as an end in himself.</w:t>
      </w:r>
      <w:bookmarkStart w:id="60" w:name="_Ref520146574"/>
      <w:r w:rsidR="00651520">
        <w:rPr>
          <w:rStyle w:val="FootnoteReference"/>
        </w:rPr>
        <w:footnoteReference w:id="126"/>
      </w:r>
      <w:bookmarkEnd w:id="60"/>
      <w:r w:rsidR="00651520">
        <w:t xml:space="preserve"> </w:t>
      </w:r>
      <w:r w:rsidR="00AC46BC">
        <w:t>Accordingly, t</w:t>
      </w:r>
      <w:r w:rsidR="00287D5B">
        <w:t>his public policy consideration</w:t>
      </w:r>
      <w:r w:rsidR="00287D5B" w:rsidRPr="00651520">
        <w:t xml:space="preserve"> </w:t>
      </w:r>
      <w:r w:rsidR="00287D5B">
        <w:t>can be viewed as an expression of the concept of human dignity as constraint which s</w:t>
      </w:r>
      <w:r w:rsidR="00900956">
        <w:t>upports the non-enforcement of a</w:t>
      </w:r>
      <w:r w:rsidR="00287D5B">
        <w:t xml:space="preserve"> contract</w:t>
      </w:r>
      <w:r w:rsidR="001F2F56">
        <w:t xml:space="preserve"> </w:t>
      </w:r>
      <w:r w:rsidR="00900956">
        <w:t xml:space="preserve">term </w:t>
      </w:r>
      <w:r w:rsidR="00005187">
        <w:t xml:space="preserve">because </w:t>
      </w:r>
      <w:r w:rsidR="00900956">
        <w:t>it</w:t>
      </w:r>
      <w:r w:rsidR="00005187">
        <w:t xml:space="preserve"> infringes on the human dignity of </w:t>
      </w:r>
      <w:r w:rsidR="001F2F56">
        <w:t xml:space="preserve">one of the </w:t>
      </w:r>
      <w:r w:rsidR="00F7486C">
        <w:t xml:space="preserve">contracting </w:t>
      </w:r>
      <w:r w:rsidR="001F2F56">
        <w:t>parties</w:t>
      </w:r>
      <w:r w:rsidR="00287D5B">
        <w:t>.</w:t>
      </w:r>
      <w:r w:rsidR="00287D5B">
        <w:rPr>
          <w:rStyle w:val="FootnoteReference"/>
        </w:rPr>
        <w:footnoteReference w:id="127"/>
      </w:r>
      <w:r w:rsidR="00F7486C" w:rsidRPr="00F7486C">
        <w:t xml:space="preserve"> </w:t>
      </w:r>
    </w:p>
    <w:p w:rsidR="000D7813" w:rsidRDefault="00721B13" w:rsidP="008A2F52">
      <w:pPr>
        <w:pStyle w:val="Newparagraph"/>
      </w:pPr>
      <w:r>
        <w:t>Therefore,</w:t>
      </w:r>
      <w:r w:rsidRPr="003D19A2">
        <w:t xml:space="preserve"> </w:t>
      </w:r>
      <w:r w:rsidR="00C030D3">
        <w:t>determin</w:t>
      </w:r>
      <w:r w:rsidR="0016467B">
        <w:t>ing</w:t>
      </w:r>
      <w:r w:rsidR="00C030D3">
        <w:t xml:space="preserve"> whether</w:t>
      </w:r>
      <w:r w:rsidR="00900956">
        <w:t xml:space="preserve"> a</w:t>
      </w:r>
      <w:r w:rsidR="00C030D3">
        <w:t xml:space="preserve"> contract term</w:t>
      </w:r>
      <w:r w:rsidR="00900956">
        <w:t xml:space="preserve"> is</w:t>
      </w:r>
      <w:r w:rsidR="00466EAC">
        <w:t xml:space="preserve"> </w:t>
      </w:r>
      <w:r w:rsidR="0016467B">
        <w:t>contrary to</w:t>
      </w:r>
      <w:r w:rsidR="00466EAC">
        <w:t xml:space="preserve"> public policy</w:t>
      </w:r>
      <w:r w:rsidRPr="003D19A2">
        <w:t xml:space="preserve"> involves a balancing act between </w:t>
      </w:r>
      <w:r>
        <w:t xml:space="preserve">these </w:t>
      </w:r>
      <w:r w:rsidRPr="003D19A2">
        <w:t>competing values</w:t>
      </w:r>
      <w:bookmarkStart w:id="61" w:name="_Ref520146656"/>
      <w:r w:rsidRPr="003D19A2">
        <w:rPr>
          <w:rStyle w:val="FootnoteReference"/>
        </w:rPr>
        <w:footnoteReference w:id="128"/>
      </w:r>
      <w:bookmarkEnd w:id="61"/>
      <w:r w:rsidRPr="003D19A2">
        <w:t xml:space="preserve"> </w:t>
      </w:r>
      <w:r>
        <w:t xml:space="preserve">and the </w:t>
      </w:r>
      <w:r w:rsidRPr="003D19A2">
        <w:t>balancing act will always be between policy considerations that support the enforcement of the contract on the one hand</w:t>
      </w:r>
      <w:r w:rsidR="000D7813">
        <w:t xml:space="preserve"> (</w:t>
      </w:r>
      <w:r w:rsidR="00005187">
        <w:t xml:space="preserve">as reflected </w:t>
      </w:r>
      <w:r w:rsidR="00B97B2E">
        <w:t>in</w:t>
      </w:r>
      <w:r w:rsidR="00005187">
        <w:t xml:space="preserve"> the idea of </w:t>
      </w:r>
      <w:r w:rsidR="000D7813">
        <w:t>human dignity as empowerment)</w:t>
      </w:r>
      <w:r w:rsidRPr="003D19A2">
        <w:t xml:space="preserve"> and policy considerations that support the non-enforcement of the contract on the other</w:t>
      </w:r>
      <w:r w:rsidR="000D7813">
        <w:t xml:space="preserve"> (</w:t>
      </w:r>
      <w:r w:rsidR="00005187">
        <w:t xml:space="preserve">as reflected </w:t>
      </w:r>
      <w:r w:rsidR="00B97B2E">
        <w:t>in</w:t>
      </w:r>
      <w:r w:rsidR="00005187">
        <w:t xml:space="preserve"> the concept of </w:t>
      </w:r>
      <w:r w:rsidR="000D7813">
        <w:t>human dignity as constraint)</w:t>
      </w:r>
      <w:r w:rsidRPr="003D19A2">
        <w:t>.</w:t>
      </w:r>
      <w:r>
        <w:t xml:space="preserve"> </w:t>
      </w:r>
      <w:r w:rsidR="00AC46BC">
        <w:t>Finally, i</w:t>
      </w:r>
      <w:r w:rsidRPr="003D19A2">
        <w:t>n balancing these policy considerations, the court concluded that the provisions of the contract were so unfair and unreasonable towards Beukes that the</w:t>
      </w:r>
      <w:r>
        <w:t xml:space="preserve"> terms of the</w:t>
      </w:r>
      <w:r w:rsidRPr="003D19A2">
        <w:t xml:space="preserve"> deed of cession w</w:t>
      </w:r>
      <w:r w:rsidR="000D7813">
        <w:t>ere</w:t>
      </w:r>
      <w:r w:rsidRPr="003D19A2">
        <w:t xml:space="preserve"> contrary to public </w:t>
      </w:r>
      <w:r w:rsidRPr="003D19A2">
        <w:lastRenderedPageBreak/>
        <w:t>policy and therefore unenforceable.</w:t>
      </w:r>
      <w:r w:rsidRPr="003D19A2">
        <w:rPr>
          <w:rStyle w:val="FootnoteReference"/>
        </w:rPr>
        <w:footnoteReference w:id="129"/>
      </w:r>
      <w:r w:rsidRPr="003D19A2">
        <w:t xml:space="preserve"> </w:t>
      </w:r>
      <w:r w:rsidR="00B97B2E">
        <w:t xml:space="preserve">Accordingly, </w:t>
      </w:r>
      <w:r w:rsidR="00373BBF">
        <w:t>the court’s decision can be seen as an endorsement of both concepts of human dignity and the tension between them is</w:t>
      </w:r>
      <w:r w:rsidR="000D7813">
        <w:t xml:space="preserve"> resolved through a balancing act between the interests of the parties</w:t>
      </w:r>
      <w:r w:rsidR="00005187">
        <w:t xml:space="preserve"> as reflected in the contract terms themselves</w:t>
      </w:r>
      <w:r w:rsidR="000D7813">
        <w:t xml:space="preserve">. </w:t>
      </w:r>
    </w:p>
    <w:p w:rsidR="00DE5868" w:rsidRDefault="000D7813" w:rsidP="008A2F52">
      <w:pPr>
        <w:pStyle w:val="Newparagraph"/>
      </w:pPr>
      <w:r>
        <w:t xml:space="preserve">How to explain </w:t>
      </w:r>
      <w:r w:rsidR="00B97B2E">
        <w:t>the court’s resolution of</w:t>
      </w:r>
      <w:r>
        <w:t xml:space="preserve"> the tension between human dignity as empowerment and constraint</w:t>
      </w:r>
      <w:r w:rsidR="00B97B2E">
        <w:t xml:space="preserve"> through a value</w:t>
      </w:r>
      <w:r w:rsidR="00373BBF">
        <w:t xml:space="preserve"> judgment involving fairness</w:t>
      </w:r>
      <w:r>
        <w:t xml:space="preserve">? </w:t>
      </w:r>
      <w:r w:rsidR="008A2F52" w:rsidRPr="00DE5868">
        <w:t>Lubbe argued that Kant’s second categorical imperative does not mean that a contracting party should never treat the other contracting party as a means to her own ends, but rather</w:t>
      </w:r>
      <w:r w:rsidR="008A2F52" w:rsidRPr="003D19A2">
        <w:t xml:space="preserve"> that she must never treat the other contracting party merely as a means, but always also as an end.</w:t>
      </w:r>
      <w:r w:rsidR="008A2F52" w:rsidRPr="003D19A2">
        <w:rPr>
          <w:rStyle w:val="FootnoteReference"/>
        </w:rPr>
        <w:footnoteReference w:id="130"/>
      </w:r>
      <w:r w:rsidR="008A2F52" w:rsidRPr="003D19A2">
        <w:t xml:space="preserve"> </w:t>
      </w:r>
      <w:r w:rsidR="0016467B">
        <w:t>H</w:t>
      </w:r>
      <w:r w:rsidR="008A2F52" w:rsidRPr="003D19A2">
        <w:t>e argued that Kant’s second categorical imperative</w:t>
      </w:r>
      <w:r w:rsidR="008A2F52">
        <w:t xml:space="preserve"> </w:t>
      </w:r>
      <w:r w:rsidR="00E32A4B">
        <w:t>‘</w:t>
      </w:r>
      <w:r w:rsidR="008A2F52" w:rsidRPr="003D19A2">
        <w:t>suggests that in the pursuit of one’s own ends, a minimum level of regard for the interests of others is indicated</w:t>
      </w:r>
      <w:r w:rsidR="00E32A4B">
        <w:t>’</w:t>
      </w:r>
      <w:r w:rsidR="008A2F52" w:rsidRPr="003D19A2">
        <w:t>.</w:t>
      </w:r>
      <w:r w:rsidR="008A2F52" w:rsidRPr="003D19A2">
        <w:rPr>
          <w:rStyle w:val="FootnoteReference"/>
        </w:rPr>
        <w:footnoteReference w:id="131"/>
      </w:r>
      <w:r w:rsidR="008A2F52" w:rsidRPr="003D19A2">
        <w:t xml:space="preserve"> </w:t>
      </w:r>
      <w:r w:rsidR="00DE5868">
        <w:t>In other words, a party’s contractual autonomy is not an unconstrained freedom but a moral freedom that may not be exercised in a way that would infringe the human dignity of the other contracting party.</w:t>
      </w:r>
      <w:r w:rsidR="00EF4965">
        <w:rPr>
          <w:rStyle w:val="FootnoteReference"/>
        </w:rPr>
        <w:footnoteReference w:id="132"/>
      </w:r>
      <w:r w:rsidR="00DE5868">
        <w:t xml:space="preserve"> </w:t>
      </w:r>
    </w:p>
    <w:p w:rsidR="00EF4965" w:rsidRDefault="008A2F52" w:rsidP="00EF4965">
      <w:pPr>
        <w:pStyle w:val="Newparagraph"/>
      </w:pPr>
      <w:r w:rsidRPr="003D19A2">
        <w:t xml:space="preserve">This is because contracts are typically bilateral co-operative ventures in terms of which both parties have to perform and both benefit from the contractual relationship in some manner. In other words, each party’s contractual performance contributes to the other party’s pursuit of her unique ends, while at the same time, each party also uses the other party as a means in pursuit of her own </w:t>
      </w:r>
      <w:r w:rsidR="000D7813">
        <w:t xml:space="preserve">set of </w:t>
      </w:r>
      <w:r w:rsidRPr="003D19A2">
        <w:t>unique ends. Hence, the contract terms will always reflect two unique set of ends that must be harmonised with each other.</w:t>
      </w:r>
      <w:r w:rsidRPr="003D19A2">
        <w:rPr>
          <w:rStyle w:val="FootnoteReference"/>
        </w:rPr>
        <w:footnoteReference w:id="133"/>
      </w:r>
      <w:r w:rsidRPr="003D19A2">
        <w:t xml:space="preserve"> Ultimately, this means that when determining whether a contract term infringes the human dignity of one of the parties, a court has to balance the interests of both parties in order to determine whether </w:t>
      </w:r>
      <w:r w:rsidR="00536EB3">
        <w:t>a</w:t>
      </w:r>
      <w:r w:rsidRPr="003D19A2">
        <w:t xml:space="preserve"> contract term constitutes an unfair infringement of </w:t>
      </w:r>
      <w:r w:rsidR="00DE5868">
        <w:t>one of the</w:t>
      </w:r>
      <w:r w:rsidRPr="003D19A2">
        <w:t xml:space="preserve"> party’s interests </w:t>
      </w:r>
      <w:r w:rsidR="00983102">
        <w:t xml:space="preserve">(her unique set of ends) </w:t>
      </w:r>
      <w:r w:rsidRPr="003D19A2">
        <w:t>and hence violates her human dignity.</w:t>
      </w:r>
      <w:r w:rsidR="00005187">
        <w:t xml:space="preserve"> </w:t>
      </w:r>
    </w:p>
    <w:p w:rsidR="00983102" w:rsidRPr="00983102" w:rsidRDefault="00536EB3" w:rsidP="00EF4965">
      <w:pPr>
        <w:pStyle w:val="Newparagraph"/>
      </w:pPr>
      <w:r w:rsidRPr="00005187">
        <w:lastRenderedPageBreak/>
        <w:t xml:space="preserve">Thus the appeal court followed an approach that take account of both human dignity </w:t>
      </w:r>
      <w:r w:rsidR="00005187">
        <w:t xml:space="preserve">as empowerment and constraint, the latter </w:t>
      </w:r>
      <w:r w:rsidR="00CA43C4">
        <w:t xml:space="preserve">as reflected in an individual’s </w:t>
      </w:r>
      <w:r w:rsidR="00005187">
        <w:t>duty</w:t>
      </w:r>
      <w:r w:rsidR="00900956">
        <w:t xml:space="preserve"> </w:t>
      </w:r>
      <w:r w:rsidR="00005187">
        <w:t>to resp</w:t>
      </w:r>
      <w:r w:rsidR="00900956">
        <w:t>ect the human dignity of other individuals</w:t>
      </w:r>
      <w:r w:rsidR="00005187">
        <w:t>. T</w:t>
      </w:r>
      <w:r w:rsidRPr="00005187">
        <w:t xml:space="preserve">his approach necessarily leads to a balancing act between the different interests of the parties </w:t>
      </w:r>
      <w:r w:rsidR="00005187" w:rsidRPr="00005187">
        <w:t>as reflected in the contract terms</w:t>
      </w:r>
      <w:r w:rsidR="00005187">
        <w:t>,</w:t>
      </w:r>
      <w:r w:rsidR="00005187" w:rsidRPr="00005187">
        <w:t xml:space="preserve"> </w:t>
      </w:r>
      <w:r w:rsidR="00005187">
        <w:t>and</w:t>
      </w:r>
      <w:r w:rsidRPr="00005187">
        <w:t xml:space="preserve"> ultimately</w:t>
      </w:r>
      <w:r w:rsidR="00005187">
        <w:t>,</w:t>
      </w:r>
      <w:r w:rsidRPr="00005187">
        <w:t xml:space="preserve"> </w:t>
      </w:r>
      <w:r w:rsidR="00005187">
        <w:t xml:space="preserve">such a balancing act </w:t>
      </w:r>
      <w:r w:rsidRPr="00005187">
        <w:t xml:space="preserve">involves a value judgment </w:t>
      </w:r>
      <w:r w:rsidR="00983102">
        <w:t>to determine the fairness of the terms.</w:t>
      </w:r>
      <w:r w:rsidR="002371C8">
        <w:t xml:space="preserve"> Therefore, the decision in</w:t>
      </w:r>
      <w:r w:rsidR="00983102">
        <w:t xml:space="preserve"> </w:t>
      </w:r>
      <w:r w:rsidR="00983102">
        <w:rPr>
          <w:i/>
        </w:rPr>
        <w:t xml:space="preserve">Sasfin </w:t>
      </w:r>
      <w:r w:rsidR="002371C8">
        <w:t xml:space="preserve">supports </w:t>
      </w:r>
      <w:r w:rsidR="00A60557">
        <w:t>the court’s</w:t>
      </w:r>
      <w:r w:rsidR="00EF4965">
        <w:t xml:space="preserve"> </w:t>
      </w:r>
      <w:r w:rsidR="00983102">
        <w:t>equitable discretion to refuse the enfor</w:t>
      </w:r>
      <w:r w:rsidR="002371C8">
        <w:t>cement of unfair contract term</w:t>
      </w:r>
      <w:r w:rsidR="00243BAC">
        <w:t xml:space="preserve">s on the basis of human dignity although the court did not expressly rely on </w:t>
      </w:r>
      <w:r w:rsidR="0016467B">
        <w:t>human dignity to reach its decision.</w:t>
      </w:r>
    </w:p>
    <w:p w:rsidR="008A2F52" w:rsidRDefault="00B917E8" w:rsidP="00B97B2E">
      <w:pPr>
        <w:pStyle w:val="Newparagraph"/>
      </w:pPr>
      <w:r w:rsidRPr="00536EB3">
        <w:t>It is</w:t>
      </w:r>
      <w:r w:rsidR="00721B13" w:rsidRPr="00536EB3">
        <w:t xml:space="preserve"> further</w:t>
      </w:r>
      <w:r w:rsidRPr="00536EB3">
        <w:t xml:space="preserve"> important to note that </w:t>
      </w:r>
      <w:r w:rsidR="00C375E7">
        <w:t>Lubbe argued</w:t>
      </w:r>
      <w:r w:rsidRPr="00536EB3">
        <w:t xml:space="preserve"> that the principle of good faith can and should perform the same function</w:t>
      </w:r>
      <w:r w:rsidR="00721B13" w:rsidRPr="00536EB3">
        <w:t xml:space="preserve"> as the policy consideration of simple justice between man and man</w:t>
      </w:r>
      <w:bookmarkStart w:id="62" w:name="_Ref520114124"/>
      <w:r w:rsidR="00F97B66">
        <w:t xml:space="preserve"> and</w:t>
      </w:r>
      <w:bookmarkEnd w:id="62"/>
      <w:r w:rsidRPr="00536EB3">
        <w:t xml:space="preserve"> </w:t>
      </w:r>
      <w:r w:rsidR="00F97B66" w:rsidRPr="00536EB3">
        <w:t>that where a contractual term constitutes an unreasonable and one-sided promotion of one party’s own interest at the expense of the other party it may be contrary to good faith and consequently also against public policy.</w:t>
      </w:r>
      <w:r w:rsidR="00F97B66" w:rsidRPr="00536EB3">
        <w:rPr>
          <w:rStyle w:val="FootnoteReference"/>
        </w:rPr>
        <w:footnoteReference w:id="134"/>
      </w:r>
      <w:r w:rsidR="00F97B66">
        <w:t xml:space="preserve"> </w:t>
      </w:r>
      <w:r w:rsidR="00721B13" w:rsidRPr="00536EB3">
        <w:t>In this way, good faith is an expression of the idea of human dignity as constraint.</w:t>
      </w:r>
      <w:r w:rsidR="00C375E7">
        <w:rPr>
          <w:rStyle w:val="FootnoteReference"/>
        </w:rPr>
        <w:footnoteReference w:id="135"/>
      </w:r>
      <w:r w:rsidR="00721B13" w:rsidRPr="00536EB3">
        <w:t xml:space="preserve"> </w:t>
      </w:r>
      <w:r w:rsidR="008A2F52" w:rsidRPr="00005187">
        <w:t xml:space="preserve">In other words, the idea of human dignity as constraint supports a general equitable jurisdiction to declare </w:t>
      </w:r>
      <w:r w:rsidR="00900956">
        <w:t>unfair contract terms</w:t>
      </w:r>
      <w:r w:rsidR="008A2F52" w:rsidRPr="00005187">
        <w:t xml:space="preserve"> invalid.</w:t>
      </w:r>
    </w:p>
    <w:p w:rsidR="00FC724C" w:rsidRDefault="00983102" w:rsidP="00FC724C">
      <w:pPr>
        <w:pStyle w:val="Heading2"/>
      </w:pPr>
      <w:r>
        <w:t xml:space="preserve">B </w:t>
      </w:r>
      <w:r w:rsidR="001D606D">
        <w:t>C</w:t>
      </w:r>
      <w:r w:rsidR="000F499A">
        <w:t>ontractual fairness</w:t>
      </w:r>
      <w:r>
        <w:t xml:space="preserve"> after the constitution</w:t>
      </w:r>
    </w:p>
    <w:p w:rsidR="008C5EC3" w:rsidRDefault="00317CA5" w:rsidP="00C375E7">
      <w:pPr>
        <w:pStyle w:val="Paragraph"/>
      </w:pPr>
      <w:r>
        <w:t>Initially, there</w:t>
      </w:r>
      <w:r w:rsidR="00243BAC">
        <w:t xml:space="preserve"> </w:t>
      </w:r>
      <w:r>
        <w:t xml:space="preserve">were indications that the multi-faceted </w:t>
      </w:r>
      <w:r w:rsidR="00243BAC">
        <w:t xml:space="preserve">idea of human dignity as </w:t>
      </w:r>
      <w:r w:rsidR="002E6B2D">
        <w:t>empowerment and constraint, the latter finding expression through good faith</w:t>
      </w:r>
      <w:r w:rsidR="008C5EC3">
        <w:t>, would</w:t>
      </w:r>
      <w:r w:rsidR="002E6B2D">
        <w:t xml:space="preserve"> find application in</w:t>
      </w:r>
      <w:r w:rsidR="00243BAC">
        <w:t xml:space="preserve"> the</w:t>
      </w:r>
      <w:r w:rsidR="00CA43C4">
        <w:t xml:space="preserve"> common</w:t>
      </w:r>
      <w:r w:rsidR="008C5EC3">
        <w:t xml:space="preserve"> law of contract</w:t>
      </w:r>
      <w:r w:rsidR="002E6B2D">
        <w:t>.</w:t>
      </w:r>
      <w:r w:rsidR="008C5EC3">
        <w:t xml:space="preserve"> In</w:t>
      </w:r>
      <w:r w:rsidR="00425417">
        <w:t xml:space="preserve"> the Cape Provincial Division </w:t>
      </w:r>
      <w:r w:rsidR="003E1EC9">
        <w:t>decision</w:t>
      </w:r>
      <w:r w:rsidR="00425417">
        <w:t xml:space="preserve"> </w:t>
      </w:r>
      <w:r w:rsidR="009828C3">
        <w:t>of</w:t>
      </w:r>
      <w:r w:rsidR="008C5EC3">
        <w:t xml:space="preserve"> </w:t>
      </w:r>
      <w:r w:rsidR="008C5EC3" w:rsidRPr="003D19A2">
        <w:rPr>
          <w:i/>
          <w:iCs/>
        </w:rPr>
        <w:t>Mort</w:t>
      </w:r>
      <w:r w:rsidR="008C5EC3">
        <w:rPr>
          <w:iCs/>
        </w:rPr>
        <w:t>,</w:t>
      </w:r>
      <w:r w:rsidR="008C5EC3">
        <w:rPr>
          <w:i/>
          <w:iCs/>
        </w:rPr>
        <w:t xml:space="preserve"> </w:t>
      </w:r>
      <w:r w:rsidR="008C5EC3" w:rsidRPr="003D19A2">
        <w:t xml:space="preserve">Judge Davis </w:t>
      </w:r>
      <w:r w:rsidR="008C5EC3">
        <w:rPr>
          <w:i/>
        </w:rPr>
        <w:t xml:space="preserve">obiter </w:t>
      </w:r>
      <w:r w:rsidR="008C5EC3" w:rsidRPr="003D19A2">
        <w:t xml:space="preserve">stated </w:t>
      </w:r>
      <w:r w:rsidR="0004682A">
        <w:t xml:space="preserve">that </w:t>
      </w:r>
      <w:r w:rsidR="008C5EC3" w:rsidRPr="003D19A2">
        <w:t>the court must develop the common law of contract in line wi</w:t>
      </w:r>
      <w:r w:rsidR="008C5EC3">
        <w:t>th the Constitution.</w:t>
      </w:r>
      <w:bookmarkStart w:id="63" w:name="_Ref454132876"/>
      <w:r w:rsidR="008C5EC3" w:rsidRPr="003D19A2">
        <w:rPr>
          <w:rStyle w:val="FootnoteReference"/>
        </w:rPr>
        <w:footnoteReference w:id="136"/>
      </w:r>
      <w:bookmarkEnd w:id="63"/>
      <w:r w:rsidR="008C5EC3">
        <w:t xml:space="preserve"> He maintained that t</w:t>
      </w:r>
      <w:r w:rsidR="008C5EC3" w:rsidRPr="003D19A2">
        <w:t xml:space="preserve">he concept of good faith is shaped by </w:t>
      </w:r>
      <w:r w:rsidR="008C5EC3" w:rsidRPr="003D19A2">
        <w:lastRenderedPageBreak/>
        <w:t>the legal convictions of the community with reference to the constitutional values of dignity, equality and freedom.</w:t>
      </w:r>
      <w:r w:rsidR="008C5EC3" w:rsidRPr="003D19A2">
        <w:rPr>
          <w:rStyle w:val="FootnoteReference"/>
        </w:rPr>
        <w:footnoteReference w:id="137"/>
      </w:r>
      <w:r w:rsidR="008C5EC3" w:rsidRPr="003D19A2">
        <w:t xml:space="preserve"> </w:t>
      </w:r>
      <w:r w:rsidR="006F22AD">
        <w:t>F</w:t>
      </w:r>
      <w:r w:rsidR="008C5EC3" w:rsidRPr="003D19A2">
        <w:t xml:space="preserve">reedom supports the idea of freedom and sanctity of contract but equality and dignity support the idea that contracting parties </w:t>
      </w:r>
      <w:r w:rsidR="00E32A4B">
        <w:t>‘</w:t>
      </w:r>
      <w:r w:rsidR="008C5EC3" w:rsidRPr="003D19A2">
        <w:t xml:space="preserve">must adhere to a minimum threshold of mutual respect in which </w:t>
      </w:r>
      <w:r w:rsidR="00E32A4B">
        <w:t>“</w:t>
      </w:r>
      <w:r w:rsidR="008C5EC3" w:rsidRPr="003D19A2">
        <w:t>the unreasonable and one-sided promotion of one’s own interest at the expense of the other infringes the principle of good faith to such a degree as to outweigh the public interest in the sanctity of contracts</w:t>
      </w:r>
      <w:r w:rsidR="00E32A4B">
        <w:t>”’</w:t>
      </w:r>
      <w:r w:rsidR="008C5EC3" w:rsidRPr="003D19A2">
        <w:t>.</w:t>
      </w:r>
      <w:bookmarkStart w:id="64" w:name="_Ref446666038"/>
      <w:r w:rsidR="008C5EC3" w:rsidRPr="003D19A2">
        <w:rPr>
          <w:rStyle w:val="FootnoteReference"/>
        </w:rPr>
        <w:footnoteReference w:id="138"/>
      </w:r>
      <w:bookmarkEnd w:id="64"/>
    </w:p>
    <w:p w:rsidR="00322C14" w:rsidRPr="003D19A2" w:rsidRDefault="00637819" w:rsidP="00322C14">
      <w:pPr>
        <w:pStyle w:val="Newparagraph"/>
      </w:pPr>
      <w:r>
        <w:t>Soon thereafter, the court i</w:t>
      </w:r>
      <w:r w:rsidR="00322C14" w:rsidRPr="00322C14">
        <w:t>n</w:t>
      </w:r>
      <w:r w:rsidR="006F22AD" w:rsidRPr="00322C14">
        <w:t xml:space="preserve"> </w:t>
      </w:r>
      <w:r w:rsidR="006F22AD" w:rsidRPr="00322C14">
        <w:rPr>
          <w:i/>
          <w:iCs/>
        </w:rPr>
        <w:t xml:space="preserve">Coetzee </w:t>
      </w:r>
      <w:r w:rsidR="00481A97">
        <w:rPr>
          <w:iCs/>
        </w:rPr>
        <w:t xml:space="preserve">endorsed the idea of human dignity as constraint when it </w:t>
      </w:r>
      <w:r w:rsidR="00322C14">
        <w:rPr>
          <w:iCs/>
        </w:rPr>
        <w:t xml:space="preserve">held </w:t>
      </w:r>
      <w:r w:rsidR="00322C14" w:rsidRPr="003D19A2">
        <w:t>that a contract term that infringed upon one of the contracting party’s human dignity would be considered contrary to public policy and therefore invalid and unenforceable.</w:t>
      </w:r>
      <w:bookmarkStart w:id="65" w:name="_Ref520147288"/>
      <w:r w:rsidR="00322C14" w:rsidRPr="003D19A2">
        <w:rPr>
          <w:rStyle w:val="FootnoteReference"/>
        </w:rPr>
        <w:footnoteReference w:id="139"/>
      </w:r>
      <w:bookmarkEnd w:id="65"/>
      <w:r w:rsidR="00322C14" w:rsidRPr="003D19A2">
        <w:t xml:space="preserve"> Woolman has pointed out that the court’s judgment was based on Kant’s second categorical imperative as the court stated that the contract infringed upon the soccer player’s human dignity because in terms of the contract he was </w:t>
      </w:r>
      <w:r w:rsidR="00E32A4B">
        <w:t>‘</w:t>
      </w:r>
      <w:r w:rsidR="00322C14" w:rsidRPr="003D19A2">
        <w:t>helpless</w:t>
      </w:r>
      <w:r w:rsidR="00E32A4B">
        <w:t>’</w:t>
      </w:r>
      <w:r w:rsidR="00322C14" w:rsidRPr="003D19A2">
        <w:t xml:space="preserve"> and </w:t>
      </w:r>
      <w:r w:rsidR="00E32A4B">
        <w:t>‘</w:t>
      </w:r>
      <w:r w:rsidR="00322C14" w:rsidRPr="003D19A2">
        <w:t>treated just like an object</w:t>
      </w:r>
      <w:r w:rsidR="00E32A4B">
        <w:t>’</w:t>
      </w:r>
      <w:r w:rsidR="00322C14" w:rsidRPr="003D19A2">
        <w:t>,</w:t>
      </w:r>
      <w:r w:rsidR="00322C14" w:rsidRPr="003D19A2">
        <w:rPr>
          <w:rStyle w:val="FootnoteReference"/>
        </w:rPr>
        <w:footnoteReference w:id="140"/>
      </w:r>
      <w:r w:rsidR="00322C14" w:rsidRPr="003D19A2">
        <w:t xml:space="preserve"> and hence, not treated as an end in himself.</w:t>
      </w:r>
      <w:r w:rsidR="00322C14" w:rsidRPr="003D19A2">
        <w:rPr>
          <w:rStyle w:val="FootnoteReference"/>
        </w:rPr>
        <w:footnoteReference w:id="141"/>
      </w:r>
      <w:r w:rsidR="00322C14" w:rsidRPr="003D19A2">
        <w:t xml:space="preserve"> Specifically, the court held that the N</w:t>
      </w:r>
      <w:r>
        <w:t>ational Soccer League (N</w:t>
      </w:r>
      <w:r w:rsidR="00322C14" w:rsidRPr="003D19A2">
        <w:t>LS</w:t>
      </w:r>
      <w:r>
        <w:t>)</w:t>
      </w:r>
      <w:r w:rsidR="00322C14" w:rsidRPr="003D19A2">
        <w:t xml:space="preserve"> rules as incorporated into the contract </w:t>
      </w:r>
      <w:r w:rsidR="00E32A4B">
        <w:t>‘</w:t>
      </w:r>
      <w:r w:rsidR="00322C14" w:rsidRPr="003D19A2">
        <w:t>are akin to treating players as goods and chattels who are at the mercy of their employer once their contract has expired</w:t>
      </w:r>
      <w:r w:rsidR="00E32A4B">
        <w:t>’</w:t>
      </w:r>
      <w:r w:rsidR="00322C14" w:rsidRPr="003D19A2">
        <w:t>.</w:t>
      </w:r>
      <w:r w:rsidR="00322C14" w:rsidRPr="003D19A2">
        <w:rPr>
          <w:rStyle w:val="FootnoteReference"/>
        </w:rPr>
        <w:footnoteReference w:id="142"/>
      </w:r>
      <w:r w:rsidR="00322C14" w:rsidRPr="003D19A2">
        <w:t xml:space="preserve"> Therefore, the court’s definition of what it means to treat a person as an end in herself accords with Wood’s interpretation of Kant</w:t>
      </w:r>
      <w:r w:rsidR="0016467B">
        <w:t xml:space="preserve">’s second categorical imperative </w:t>
      </w:r>
      <w:r>
        <w:t>in</w:t>
      </w:r>
      <w:r w:rsidR="00322C14" w:rsidRPr="003D19A2">
        <w:t xml:space="preserve"> that treating a person as an end in herself denotes respect for the person’s unique set of ends which would include that a person should not be deprived of control over her life</w:t>
      </w:r>
      <w:r w:rsidR="00322C14" w:rsidRPr="003D19A2">
        <w:rPr>
          <w:rStyle w:val="FootnoteReference"/>
        </w:rPr>
        <w:footnoteReference w:id="143"/>
      </w:r>
      <w:r w:rsidR="00322C14" w:rsidRPr="003D19A2">
        <w:t xml:space="preserve"> </w:t>
      </w:r>
      <w:r w:rsidR="00490D73">
        <w:t xml:space="preserve">which was also </w:t>
      </w:r>
      <w:r w:rsidR="00490D73" w:rsidRPr="003D19A2">
        <w:t xml:space="preserve">endorsed by the Court in </w:t>
      </w:r>
      <w:r w:rsidR="00490D73" w:rsidRPr="003D19A2">
        <w:rPr>
          <w:bCs/>
          <w:i/>
          <w:iCs/>
        </w:rPr>
        <w:t>Pillay</w:t>
      </w:r>
      <w:r w:rsidR="00490D73">
        <w:rPr>
          <w:bCs/>
          <w:iCs/>
        </w:rPr>
        <w:t>.</w:t>
      </w:r>
      <w:r w:rsidR="00490D73" w:rsidRPr="003D19A2">
        <w:rPr>
          <w:rStyle w:val="FootnoteReference"/>
        </w:rPr>
        <w:footnoteReference w:id="144"/>
      </w:r>
      <w:r w:rsidR="00490D73" w:rsidRPr="003D19A2">
        <w:t xml:space="preserve"> </w:t>
      </w:r>
      <w:r w:rsidR="00322C14" w:rsidRPr="003D19A2">
        <w:t xml:space="preserve">As the NSL rules incorporated into the contract left the player helpless and at the mercy of </w:t>
      </w:r>
      <w:r w:rsidR="00322C14" w:rsidRPr="003D19A2">
        <w:lastRenderedPageBreak/>
        <w:t>his former employer, the contract deprived him of control over his life</w:t>
      </w:r>
      <w:r w:rsidR="00481A97">
        <w:t xml:space="preserve"> and hence infringed his human dignity. C</w:t>
      </w:r>
      <w:r w:rsidR="00322C14" w:rsidRPr="003D19A2">
        <w:t>onsequently</w:t>
      </w:r>
      <w:r w:rsidR="00481A97">
        <w:t>,</w:t>
      </w:r>
      <w:r w:rsidR="00322C14" w:rsidRPr="003D19A2">
        <w:t xml:space="preserve"> the contract was contrary to public policy.</w:t>
      </w:r>
    </w:p>
    <w:p w:rsidR="00B25CC1" w:rsidRDefault="008C2CD7" w:rsidP="00B25CC1">
      <w:pPr>
        <w:pStyle w:val="Newparagraph"/>
      </w:pPr>
      <w:r>
        <w:t>H</w:t>
      </w:r>
      <w:r w:rsidR="00D10093">
        <w:t xml:space="preserve">owever, </w:t>
      </w:r>
      <w:r w:rsidR="006A031D">
        <w:t>it was not long before</w:t>
      </w:r>
      <w:r w:rsidR="00B826B1">
        <w:t xml:space="preserve"> </w:t>
      </w:r>
      <w:r w:rsidR="00D10093">
        <w:t>the Supreme Court of Appeal endorsed the empowerm</w:t>
      </w:r>
      <w:r w:rsidR="00B826B1">
        <w:t>e</w:t>
      </w:r>
      <w:r w:rsidR="00B4043E">
        <w:t>nt conception of human dignity</w:t>
      </w:r>
      <w:r w:rsidR="001A4E8D">
        <w:t xml:space="preserve"> only</w:t>
      </w:r>
      <w:r w:rsidR="00637819">
        <w:t xml:space="preserve">. </w:t>
      </w:r>
      <w:r w:rsidR="003342D0">
        <w:rPr>
          <w:iCs/>
        </w:rPr>
        <w:t xml:space="preserve">In </w:t>
      </w:r>
      <w:r w:rsidR="003342D0" w:rsidRPr="003D19A2">
        <w:rPr>
          <w:i/>
          <w:iCs/>
        </w:rPr>
        <w:t>Brisley</w:t>
      </w:r>
      <w:r w:rsidR="003342D0" w:rsidRPr="003D19A2">
        <w:t xml:space="preserve"> dealing with the enforceability of a non-variation clause</w:t>
      </w:r>
      <w:r w:rsidR="003342D0">
        <w:t>, t</w:t>
      </w:r>
      <w:r w:rsidR="003342D0" w:rsidRPr="003D19A2">
        <w:t xml:space="preserve">he court </w:t>
      </w:r>
      <w:r w:rsidR="00EF1260" w:rsidRPr="003D19A2">
        <w:t xml:space="preserve">stressed the fact that </w:t>
      </w:r>
      <w:r w:rsidR="00E32A4B">
        <w:t>‘</w:t>
      </w:r>
      <w:r w:rsidR="00EF1260" w:rsidRPr="003D19A2">
        <w:t xml:space="preserve">public policy generally favours </w:t>
      </w:r>
      <w:r w:rsidR="00EF1260">
        <w:t>the utmost freedom of contract</w:t>
      </w:r>
      <w:r w:rsidR="00E32A4B">
        <w:t>’</w:t>
      </w:r>
      <w:bookmarkStart w:id="66" w:name="_Ref520147396"/>
      <w:r w:rsidR="00EF1260" w:rsidRPr="003D19A2">
        <w:rPr>
          <w:rStyle w:val="FootnoteReference"/>
        </w:rPr>
        <w:footnoteReference w:id="145"/>
      </w:r>
      <w:bookmarkEnd w:id="66"/>
      <w:r w:rsidR="00EF1260" w:rsidRPr="003D19A2">
        <w:t xml:space="preserve"> </w:t>
      </w:r>
      <w:r w:rsidR="00EF1260">
        <w:t xml:space="preserve">and </w:t>
      </w:r>
      <w:r w:rsidR="003342D0" w:rsidRPr="003D19A2">
        <w:t>struck a damaging blow to the principle of good faith when it held that good faith was an abstract value underlying the substantive common law of contract and not an independent substantive rule that can be used to strike down a contract that would otherwise be enforceable.</w:t>
      </w:r>
      <w:r w:rsidR="003342D0" w:rsidRPr="003D19A2">
        <w:rPr>
          <w:rStyle w:val="FootnoteReference"/>
        </w:rPr>
        <w:footnoteReference w:id="146"/>
      </w:r>
      <w:r w:rsidR="003342D0" w:rsidRPr="003D19A2">
        <w:t xml:space="preserve"> </w:t>
      </w:r>
      <w:r w:rsidR="00B25CC1" w:rsidRPr="003D19A2">
        <w:t>If this would be allowed, the court argued, it would mean that whether a contract would be enforceable or not would depend on what a particular judge viewed as fair and just.</w:t>
      </w:r>
      <w:bookmarkStart w:id="67" w:name="_Ref483987602"/>
      <w:r w:rsidR="00B25CC1" w:rsidRPr="003D19A2">
        <w:rPr>
          <w:rStyle w:val="FootnoteReference"/>
        </w:rPr>
        <w:footnoteReference w:id="147"/>
      </w:r>
      <w:bookmarkEnd w:id="67"/>
      <w:r w:rsidR="00B25CC1" w:rsidRPr="003D19A2">
        <w:t xml:space="preserve"> The court held that granting a judge such a discretion would ignore the principle of </w:t>
      </w:r>
      <w:r w:rsidR="00B25CC1" w:rsidRPr="003D19A2">
        <w:rPr>
          <w:i/>
          <w:iCs/>
        </w:rPr>
        <w:t>pacta sunt servanda</w:t>
      </w:r>
      <w:r w:rsidR="00B25CC1" w:rsidRPr="003D19A2">
        <w:t xml:space="preserve"> and lead to commercial uncertainty.</w:t>
      </w:r>
      <w:r w:rsidR="00B25CC1" w:rsidRPr="003D19A2">
        <w:rPr>
          <w:rStyle w:val="FootnoteReference"/>
        </w:rPr>
        <w:footnoteReference w:id="148"/>
      </w:r>
      <w:r w:rsidR="00B25CC1">
        <w:t xml:space="preserve"> </w:t>
      </w:r>
      <w:r w:rsidR="00EF1260" w:rsidRPr="003D19A2">
        <w:t xml:space="preserve">Finally, it held that the principles set out in </w:t>
      </w:r>
      <w:r w:rsidR="00EF1260" w:rsidRPr="003D19A2">
        <w:rPr>
          <w:i/>
          <w:iCs/>
        </w:rPr>
        <w:t xml:space="preserve">Sasfin </w:t>
      </w:r>
      <w:r w:rsidR="00EF1260" w:rsidRPr="003D19A2">
        <w:t xml:space="preserve">cannot be used to prevent the enforcement of contractual terms that are not in themselves contrary to public policy. It stated that even if the principles in </w:t>
      </w:r>
      <w:r w:rsidR="00EF1260" w:rsidRPr="003D19A2">
        <w:rPr>
          <w:i/>
          <w:iCs/>
        </w:rPr>
        <w:t xml:space="preserve">Sasfin </w:t>
      </w:r>
      <w:r w:rsidR="00EF1260" w:rsidRPr="003D19A2">
        <w:t xml:space="preserve">could be extended to the </w:t>
      </w:r>
      <w:r w:rsidR="0016467B">
        <w:t xml:space="preserve">unfair </w:t>
      </w:r>
      <w:r w:rsidR="00EF1260" w:rsidRPr="003D19A2">
        <w:t>enforcement of terms, it should only be applied in exceptional cases.</w:t>
      </w:r>
      <w:bookmarkStart w:id="68" w:name="_Ref485738595"/>
      <w:r w:rsidR="00EF1260" w:rsidRPr="003D19A2">
        <w:rPr>
          <w:rStyle w:val="FootnoteReference"/>
        </w:rPr>
        <w:footnoteReference w:id="149"/>
      </w:r>
      <w:bookmarkEnd w:id="68"/>
      <w:r w:rsidR="00B25CC1">
        <w:t xml:space="preserve"> </w:t>
      </w:r>
    </w:p>
    <w:p w:rsidR="00B25CC1" w:rsidRPr="003D19A2" w:rsidRDefault="00B25CC1" w:rsidP="00481A97">
      <w:pPr>
        <w:pStyle w:val="Newparagraph"/>
      </w:pPr>
      <w:r w:rsidRPr="003D19A2">
        <w:t>Soon thereafter, the enforceability of an exemption clause that excluded a private hospital’s liability for the negligent conduct of its nursing staff was considered in</w:t>
      </w:r>
      <w:r w:rsidRPr="003D19A2">
        <w:rPr>
          <w:i/>
          <w:iCs/>
        </w:rPr>
        <w:t xml:space="preserve"> Afrox</w:t>
      </w:r>
      <w:r w:rsidRPr="001E7F76">
        <w:rPr>
          <w:iCs/>
        </w:rPr>
        <w:t>.</w:t>
      </w:r>
      <w:bookmarkStart w:id="69" w:name="_Ref520147645"/>
      <w:r w:rsidR="001E7F76" w:rsidRPr="001E7F76">
        <w:rPr>
          <w:rStyle w:val="FootnoteReference"/>
          <w:iCs/>
        </w:rPr>
        <w:footnoteReference w:id="150"/>
      </w:r>
      <w:bookmarkEnd w:id="69"/>
      <w:r w:rsidRPr="001E7F76">
        <w:rPr>
          <w:iCs/>
        </w:rPr>
        <w:t xml:space="preserve"> </w:t>
      </w:r>
      <w:r w:rsidRPr="003D19A2">
        <w:t xml:space="preserve">With reference to </w:t>
      </w:r>
      <w:r w:rsidRPr="003D19A2">
        <w:rPr>
          <w:i/>
          <w:iCs/>
        </w:rPr>
        <w:t xml:space="preserve">Sasfin </w:t>
      </w:r>
      <w:r w:rsidRPr="003D19A2">
        <w:t>the court accepted that a contract term which is so unfair as to be against public policy would be unenforceable but cautioned that the power to declare contracts contrary to public policy should be exercised sparingly and only in the clearest of cases to prevent the decision being based on the judge’s own subjective perception of fairness.</w:t>
      </w:r>
      <w:bookmarkStart w:id="70" w:name="_Ref520147507"/>
      <w:r w:rsidRPr="003D19A2">
        <w:rPr>
          <w:rStyle w:val="FootnoteReference"/>
        </w:rPr>
        <w:footnoteReference w:id="151"/>
      </w:r>
      <w:bookmarkEnd w:id="70"/>
      <w:r>
        <w:t xml:space="preserve"> </w:t>
      </w:r>
      <w:r w:rsidRPr="003D19A2">
        <w:t xml:space="preserve">The court confirmed that public policy is now rooted in the </w:t>
      </w:r>
      <w:r w:rsidRPr="003D19A2">
        <w:lastRenderedPageBreak/>
        <w:t>Constitution and its founding values, namely dignity, equality and freedom.</w:t>
      </w:r>
      <w:r w:rsidRPr="003D19A2">
        <w:rPr>
          <w:rStyle w:val="FootnoteReference"/>
        </w:rPr>
        <w:footnoteReference w:id="152"/>
      </w:r>
      <w:r w:rsidRPr="003D19A2">
        <w:t xml:space="preserve"> </w:t>
      </w:r>
      <w:r w:rsidR="00974D5C">
        <w:t>The court stated that t</w:t>
      </w:r>
      <w:r w:rsidRPr="003D19A2">
        <w:t>hese values require the courts to show restraint when striking down contracts because contractual autonomy is part of the constitutional value of freedom and also informs the constitutional value of dignity.</w:t>
      </w:r>
      <w:r w:rsidRPr="003D19A2">
        <w:rPr>
          <w:rStyle w:val="FootnoteReference"/>
        </w:rPr>
        <w:footnoteReference w:id="153"/>
      </w:r>
      <w:r w:rsidRPr="003D19A2">
        <w:t xml:space="preserve"> The court </w:t>
      </w:r>
      <w:r w:rsidR="00481A97">
        <w:t>further</w:t>
      </w:r>
      <w:r w:rsidRPr="003D19A2">
        <w:t xml:space="preserve"> elevated contractual freedom </w:t>
      </w:r>
      <w:r>
        <w:t>to</w:t>
      </w:r>
      <w:r w:rsidR="00974D5C">
        <w:t xml:space="preserve"> the status of</w:t>
      </w:r>
      <w:r>
        <w:t xml:space="preserve"> a </w:t>
      </w:r>
      <w:bookmarkStart w:id="71" w:name="_Ref482180101"/>
      <w:r>
        <w:t>constitutional value.</w:t>
      </w:r>
      <w:r w:rsidRPr="003D19A2">
        <w:rPr>
          <w:rStyle w:val="FootnoteReference"/>
        </w:rPr>
        <w:footnoteReference w:id="154"/>
      </w:r>
      <w:bookmarkEnd w:id="71"/>
      <w:r w:rsidR="00481A97">
        <w:t xml:space="preserve"> A</w:t>
      </w:r>
      <w:r w:rsidRPr="003D19A2">
        <w:t>lthough the court recognised that the unequal bargaining position of the parties is a relevant factor in deciding whether a contract term is contrary to public policy, it argued that its presence alone will not result in the contract term being contrary to public policy.</w:t>
      </w:r>
      <w:bookmarkStart w:id="72" w:name="_Ref483656015"/>
      <w:r w:rsidRPr="003D19A2">
        <w:rPr>
          <w:rStyle w:val="FootnoteReference"/>
        </w:rPr>
        <w:footnoteReference w:id="155"/>
      </w:r>
      <w:bookmarkEnd w:id="72"/>
      <w:r w:rsidRPr="003D19A2">
        <w:t xml:space="preserve"> </w:t>
      </w:r>
      <w:r w:rsidR="00CC4CD5">
        <w:t xml:space="preserve">Finally, the court confirmed </w:t>
      </w:r>
      <w:r w:rsidR="00CC4CD5" w:rsidRPr="003D19A2">
        <w:t>that good faith is an abstract value underlying the substantive common law of contract and not an independent substantive rule that can be used to strike down a contract that would otherwise be enforceable.</w:t>
      </w:r>
      <w:bookmarkStart w:id="73" w:name="_Ref450048307"/>
      <w:r w:rsidR="00CC4CD5" w:rsidRPr="003D19A2">
        <w:rPr>
          <w:rStyle w:val="FootnoteReference"/>
        </w:rPr>
        <w:footnoteReference w:id="156"/>
      </w:r>
      <w:bookmarkEnd w:id="73"/>
      <w:r w:rsidR="00CC4CD5">
        <w:t xml:space="preserve"> </w:t>
      </w:r>
    </w:p>
    <w:p w:rsidR="00425417" w:rsidRDefault="00B007A5" w:rsidP="008C2CD7">
      <w:pPr>
        <w:pStyle w:val="Newparagraph"/>
      </w:pPr>
      <w:r>
        <w:t>The appeal</w:t>
      </w:r>
      <w:r w:rsidRPr="003D19A2">
        <w:t xml:space="preserve"> court’s approach</w:t>
      </w:r>
      <w:r>
        <w:t xml:space="preserve"> in both cases</w:t>
      </w:r>
      <w:r w:rsidRPr="003D19A2">
        <w:t xml:space="preserve"> is a giant step backwards from the principles laid down in </w:t>
      </w:r>
      <w:r w:rsidRPr="003D19A2">
        <w:rPr>
          <w:i/>
          <w:iCs/>
        </w:rPr>
        <w:t>Sasfin</w:t>
      </w:r>
      <w:r w:rsidRPr="003D19A2">
        <w:t>.</w:t>
      </w:r>
      <w:r w:rsidRPr="003D19A2">
        <w:rPr>
          <w:rStyle w:val="FootnoteReference"/>
        </w:rPr>
        <w:footnoteReference w:id="157"/>
      </w:r>
      <w:r w:rsidRPr="003D19A2">
        <w:t xml:space="preserve"> In </w:t>
      </w:r>
      <w:r w:rsidRPr="003D19A2">
        <w:rPr>
          <w:i/>
          <w:iCs/>
        </w:rPr>
        <w:t xml:space="preserve">Sasfin </w:t>
      </w:r>
      <w:r w:rsidRPr="003D19A2">
        <w:t>the court accepted that the principles of freedom and sanctity of contract were not absolute and that public policy required that a balance should be found between freedom and sanctity of contract on the one hand and fairness or equity on the other.</w:t>
      </w:r>
      <w:r w:rsidRPr="003D19A2">
        <w:rPr>
          <w:rStyle w:val="FootnoteReference"/>
        </w:rPr>
        <w:footnoteReference w:id="158"/>
      </w:r>
      <w:r>
        <w:t>As was shown above, this approach is based on a the multi-facetted approach to human dignity as both empowerment and constraint and requires the court to balance the interests of the parties through a value judgment based on fairness.</w:t>
      </w:r>
      <w:r w:rsidRPr="003D19A2">
        <w:t xml:space="preserve"> </w:t>
      </w:r>
      <w:r>
        <w:t xml:space="preserve">In contrast, the appeal court’s approach to human dignity over-emphasises its empowerment conception </w:t>
      </w:r>
      <w:r w:rsidR="00135E63">
        <w:t xml:space="preserve">and fails to take account of the idea of human dignity as constraint. As a result, there is little possibility for a </w:t>
      </w:r>
      <w:r w:rsidRPr="003D19A2">
        <w:t xml:space="preserve">balancing act </w:t>
      </w:r>
      <w:r>
        <w:t>between the interests of the parties through a value judgment based on fairness</w:t>
      </w:r>
      <w:r w:rsidR="004F25B2">
        <w:t>.</w:t>
      </w:r>
      <w:r w:rsidR="00135E63">
        <w:t xml:space="preserve"> Firstly, because c</w:t>
      </w:r>
      <w:r w:rsidRPr="003D19A2">
        <w:t xml:space="preserve">ontractual autonomy is now enshrined as a constitutional value itself and informs the constitutional </w:t>
      </w:r>
      <w:r w:rsidRPr="003D19A2">
        <w:lastRenderedPageBreak/>
        <w:t>value of human dignity.</w:t>
      </w:r>
      <w:bookmarkStart w:id="74" w:name="_Ref483663778"/>
      <w:r w:rsidRPr="003D19A2">
        <w:rPr>
          <w:rStyle w:val="FootnoteReference"/>
        </w:rPr>
        <w:footnoteReference w:id="159"/>
      </w:r>
      <w:bookmarkEnd w:id="74"/>
      <w:r w:rsidRPr="003D19A2">
        <w:t xml:space="preserve"> </w:t>
      </w:r>
      <w:r w:rsidR="00135E63">
        <w:t>Secondly</w:t>
      </w:r>
      <w:r w:rsidR="00974D5C">
        <w:t xml:space="preserve">, </w:t>
      </w:r>
      <w:r w:rsidR="00135E63">
        <w:t xml:space="preserve">because </w:t>
      </w:r>
      <w:r w:rsidR="00974D5C" w:rsidRPr="003D19A2">
        <w:t xml:space="preserve">any consideration of fairness is not allowed as it would defeat the rule of law </w:t>
      </w:r>
      <w:r w:rsidR="00985A11">
        <w:t>and</w:t>
      </w:r>
      <w:r w:rsidR="00974D5C" w:rsidRPr="003D19A2">
        <w:t xml:space="preserve"> result in arbitrary decisions </w:t>
      </w:r>
      <w:r w:rsidR="00985A11">
        <w:t>and</w:t>
      </w:r>
      <w:r w:rsidR="00974D5C" w:rsidRPr="003D19A2">
        <w:t xml:space="preserve"> legal and commercial uncertainty.</w:t>
      </w:r>
    </w:p>
    <w:p w:rsidR="002371C8" w:rsidRDefault="001D606D" w:rsidP="001D606D">
      <w:pPr>
        <w:pStyle w:val="Heading1"/>
      </w:pPr>
      <w:r>
        <w:t>I</w:t>
      </w:r>
      <w:r w:rsidR="00B3241E">
        <w:t xml:space="preserve">V MAKING SENSE OF </w:t>
      </w:r>
      <w:r w:rsidR="00B3241E" w:rsidRPr="00A43B78">
        <w:rPr>
          <w:i/>
        </w:rPr>
        <w:t>BARKHUIZEN</w:t>
      </w:r>
      <w:r w:rsidR="00B3241E">
        <w:t xml:space="preserve">, </w:t>
      </w:r>
      <w:r w:rsidR="00B3241E" w:rsidRPr="00A43B78">
        <w:rPr>
          <w:i/>
        </w:rPr>
        <w:t>BREDENKAMP</w:t>
      </w:r>
      <w:r w:rsidR="00B3241E">
        <w:t xml:space="preserve"> AND </w:t>
      </w:r>
      <w:r w:rsidR="00B3241E" w:rsidRPr="00A43B78">
        <w:rPr>
          <w:i/>
        </w:rPr>
        <w:t>BOTHA</w:t>
      </w:r>
    </w:p>
    <w:p w:rsidR="002A49A3" w:rsidRPr="002A49A3" w:rsidRDefault="002A49A3" w:rsidP="002A49A3">
      <w:pPr>
        <w:pStyle w:val="Heading2"/>
      </w:pPr>
      <w:r>
        <w:t>A Barkhuizen</w:t>
      </w:r>
    </w:p>
    <w:p w:rsidR="008C2CD7" w:rsidRDefault="0039333E" w:rsidP="008C2CD7">
      <w:pPr>
        <w:pStyle w:val="Paragraph"/>
        <w:rPr>
          <w:iCs/>
        </w:rPr>
      </w:pPr>
      <w:r>
        <w:t xml:space="preserve">The issue </w:t>
      </w:r>
      <w:r w:rsidR="002E725E">
        <w:t>of</w:t>
      </w:r>
      <w:r>
        <w:t xml:space="preserve"> contractual fairness</w:t>
      </w:r>
      <w:r w:rsidR="008C2CD7">
        <w:t xml:space="preserve"> finally arrived in </w:t>
      </w:r>
      <w:r w:rsidR="009657E6">
        <w:t xml:space="preserve">the </w:t>
      </w:r>
      <w:r w:rsidR="008C2CD7">
        <w:t xml:space="preserve">Court </w:t>
      </w:r>
      <w:r w:rsidR="003E1EC9">
        <w:t>in</w:t>
      </w:r>
      <w:r w:rsidRPr="003D19A2">
        <w:t xml:space="preserve"> </w:t>
      </w:r>
      <w:r w:rsidRPr="003D19A2">
        <w:rPr>
          <w:i/>
          <w:iCs/>
        </w:rPr>
        <w:t xml:space="preserve">Barkhuizen </w:t>
      </w:r>
      <w:r w:rsidR="002E725E">
        <w:rPr>
          <w:iCs/>
        </w:rPr>
        <w:t>dealing</w:t>
      </w:r>
      <w:r w:rsidR="002E725E" w:rsidRPr="002E725E">
        <w:t xml:space="preserve"> </w:t>
      </w:r>
      <w:r w:rsidR="002E725E">
        <w:rPr>
          <w:iCs/>
        </w:rPr>
        <w:t xml:space="preserve">with </w:t>
      </w:r>
      <w:r w:rsidR="002E725E" w:rsidRPr="003D19A2">
        <w:t>the enforcement of a time-limitation clause in a short-term insurance contract.</w:t>
      </w:r>
      <w:r w:rsidR="002E725E">
        <w:t xml:space="preserve"> </w:t>
      </w:r>
      <w:r w:rsidR="002A49A3">
        <w:t>The Court</w:t>
      </w:r>
      <w:r w:rsidR="002E725E" w:rsidRPr="003D19A2">
        <w:t xml:space="preserve"> held that constitutional challenges to contractual terms must be determined by testing the terms against public policy</w:t>
      </w:r>
      <w:bookmarkStart w:id="75" w:name="_Ref485031536"/>
      <w:r w:rsidR="0016467B">
        <w:t>,</w:t>
      </w:r>
      <w:bookmarkEnd w:id="75"/>
      <w:r w:rsidR="002E725E">
        <w:t xml:space="preserve"> </w:t>
      </w:r>
      <w:r w:rsidR="00F87C4C">
        <w:t xml:space="preserve">which </w:t>
      </w:r>
      <w:r w:rsidR="0016467B">
        <w:t>in turn is informed by</w:t>
      </w:r>
      <w:r w:rsidR="002E725E" w:rsidRPr="003D19A2">
        <w:t xml:space="preserve"> the Constitution and </w:t>
      </w:r>
      <w:r w:rsidR="002E725E">
        <w:t xml:space="preserve">the constitutional values of </w:t>
      </w:r>
      <w:r w:rsidR="002E725E" w:rsidRPr="003D19A2">
        <w:t>freedom, dignity, equality and the rule of law</w:t>
      </w:r>
      <w:r w:rsidR="00F87C4C">
        <w:t>. A</w:t>
      </w:r>
      <w:r w:rsidR="002E725E" w:rsidRPr="003D19A2">
        <w:t xml:space="preserve"> contract term that is contrary to such values is contrary to public policy and therefore unenforceable.</w:t>
      </w:r>
      <w:r w:rsidR="002E725E" w:rsidRPr="003D19A2">
        <w:rPr>
          <w:rStyle w:val="FootnoteReference"/>
        </w:rPr>
        <w:footnoteReference w:id="160"/>
      </w:r>
      <w:r w:rsidR="002E725E" w:rsidRPr="003D19A2">
        <w:t xml:space="preserve"> </w:t>
      </w:r>
      <w:r w:rsidR="002E725E">
        <w:rPr>
          <w:iCs/>
        </w:rPr>
        <w:t xml:space="preserve"> </w:t>
      </w:r>
    </w:p>
    <w:p w:rsidR="00B22730" w:rsidRPr="00B22730" w:rsidRDefault="00B22730" w:rsidP="00B22730">
      <w:pPr>
        <w:pStyle w:val="Newparagraph"/>
      </w:pPr>
      <w:r>
        <w:t xml:space="preserve">The Court </w:t>
      </w:r>
      <w:r w:rsidRPr="00B22730">
        <w:t xml:space="preserve">referred to the test laid down in </w:t>
      </w:r>
      <w:r w:rsidRPr="00B22730">
        <w:rPr>
          <w:i/>
          <w:iCs/>
        </w:rPr>
        <w:t xml:space="preserve">Sasfin </w:t>
      </w:r>
      <w:r w:rsidRPr="00B22730">
        <w:t>which entails a balancing act between the policy considerations of freedom and sanctity of contract on the one hand and simple justice between individuals on the other</w:t>
      </w:r>
      <w:r w:rsidRPr="00B22730">
        <w:rPr>
          <w:vertAlign w:val="superscript"/>
        </w:rPr>
        <w:footnoteReference w:id="161"/>
      </w:r>
      <w:r>
        <w:t xml:space="preserve"> and</w:t>
      </w:r>
      <w:r w:rsidR="0003721C">
        <w:t xml:space="preserve"> held</w:t>
      </w:r>
      <w:r>
        <w:t xml:space="preserve"> that such </w:t>
      </w:r>
      <w:r w:rsidR="00D57162">
        <w:t xml:space="preserve">a </w:t>
      </w:r>
      <w:r>
        <w:t xml:space="preserve">balancing act necessarily </w:t>
      </w:r>
      <w:r w:rsidRPr="003D19A2">
        <w:t>implicates notions of fairness, justice, equity and reasonableness.</w:t>
      </w:r>
      <w:r w:rsidRPr="003D19A2">
        <w:rPr>
          <w:rStyle w:val="FootnoteReference"/>
        </w:rPr>
        <w:footnoteReference w:id="162"/>
      </w:r>
      <w:r w:rsidRPr="003D19A2">
        <w:t xml:space="preserve"> </w:t>
      </w:r>
      <w:r>
        <w:t xml:space="preserve"> </w:t>
      </w:r>
      <w:r w:rsidR="00D57162" w:rsidRPr="003D19A2">
        <w:t xml:space="preserve">In this respect, the Constitutional Court </w:t>
      </w:r>
      <w:r w:rsidR="00135E63">
        <w:t xml:space="preserve">stated </w:t>
      </w:r>
      <w:r w:rsidR="00D57162" w:rsidRPr="003D19A2">
        <w:t xml:space="preserve">that </w:t>
      </w:r>
      <w:r w:rsidR="00E32A4B">
        <w:t>‘</w:t>
      </w:r>
      <w:r w:rsidR="00D57162" w:rsidRPr="003D19A2">
        <w:t>the Constitution requires us to employ its values to achieve a balance that strikes down the unacceptable excesses of ‘freedom of contract’, while seeking to permit individuals the dignity and autonomy of regulating their own lives</w:t>
      </w:r>
      <w:r w:rsidR="00E32A4B">
        <w:t>’</w:t>
      </w:r>
      <w:r w:rsidR="00D57162" w:rsidRPr="003D19A2">
        <w:t>.</w:t>
      </w:r>
      <w:r w:rsidR="00D57162" w:rsidRPr="003D19A2">
        <w:rPr>
          <w:rStyle w:val="FootnoteReference"/>
        </w:rPr>
        <w:footnoteReference w:id="163"/>
      </w:r>
      <w:r w:rsidR="00D57162" w:rsidRPr="003D19A2">
        <w:t xml:space="preserve"> </w:t>
      </w:r>
      <w:r w:rsidR="00135E63">
        <w:t>The</w:t>
      </w:r>
      <w:r w:rsidR="00D57162" w:rsidRPr="003D19A2">
        <w:t xml:space="preserve"> Court </w:t>
      </w:r>
      <w:r w:rsidR="0016467B">
        <w:t xml:space="preserve">also </w:t>
      </w:r>
      <w:r w:rsidR="00D57162" w:rsidRPr="003D19A2">
        <w:t>expressly rejected the Supreme Court of Appeal’s contention that the fact that a contract term is unfair or might operate harshly cannot lead to the conclusion that the term is contrary to constitutional values and principles.</w:t>
      </w:r>
      <w:bookmarkStart w:id="76" w:name="_Ref447803957"/>
      <w:r w:rsidR="00D57162" w:rsidRPr="003D19A2">
        <w:rPr>
          <w:rStyle w:val="FootnoteReference"/>
        </w:rPr>
        <w:footnoteReference w:id="164"/>
      </w:r>
      <w:bookmarkEnd w:id="76"/>
      <w:r w:rsidR="00D57162" w:rsidRPr="003D19A2">
        <w:t xml:space="preserve"> </w:t>
      </w:r>
      <w:r w:rsidR="0016467B">
        <w:t>Therefore,</w:t>
      </w:r>
      <w:r w:rsidR="00135E63">
        <w:t xml:space="preserve"> </w:t>
      </w:r>
      <w:r w:rsidR="009657E6">
        <w:t>the C</w:t>
      </w:r>
      <w:r w:rsidR="00135E63">
        <w:t xml:space="preserve">ourt’s approach aligns with that in </w:t>
      </w:r>
      <w:r w:rsidR="0003721C">
        <w:rPr>
          <w:i/>
        </w:rPr>
        <w:t xml:space="preserve">Sasfin </w:t>
      </w:r>
      <w:r w:rsidR="00135E63">
        <w:t>in that it reflects a m</w:t>
      </w:r>
      <w:r w:rsidR="00D57162">
        <w:t xml:space="preserve">ulti-facetted approach to human dignity as both empowerment and constraint </w:t>
      </w:r>
      <w:r w:rsidR="00135E63">
        <w:t>which</w:t>
      </w:r>
      <w:r w:rsidR="00D57162">
        <w:t xml:space="preserve"> results in </w:t>
      </w:r>
      <w:r w:rsidR="00D57162">
        <w:lastRenderedPageBreak/>
        <w:t xml:space="preserve">a balancing act between the interests of the parties through value judgment based on </w:t>
      </w:r>
      <w:r w:rsidR="002A49A3">
        <w:t>fairness</w:t>
      </w:r>
      <w:r w:rsidR="00D57162">
        <w:t xml:space="preserve">. </w:t>
      </w:r>
    </w:p>
    <w:p w:rsidR="0003721C" w:rsidRDefault="00F87C4C" w:rsidP="008C2CD7">
      <w:pPr>
        <w:pStyle w:val="Newparagraph"/>
      </w:pPr>
      <w:r>
        <w:t xml:space="preserve">The Court then </w:t>
      </w:r>
      <w:r w:rsidRPr="003D19A2">
        <w:t xml:space="preserve">laid down a two-part test for fairness dealing with the fairness of the </w:t>
      </w:r>
      <w:r w:rsidR="009F1613">
        <w:t>contract term</w:t>
      </w:r>
      <w:r w:rsidRPr="003D19A2">
        <w:t xml:space="preserve"> itself </w:t>
      </w:r>
      <w:r w:rsidR="009F1613">
        <w:t>as well as the</w:t>
      </w:r>
      <w:r w:rsidRPr="003D19A2">
        <w:t xml:space="preserve"> enforcement of the </w:t>
      </w:r>
      <w:r w:rsidR="009F1613">
        <w:t>contract term</w:t>
      </w:r>
      <w:r w:rsidRPr="003D19A2">
        <w:t>.</w:t>
      </w:r>
      <w:r w:rsidRPr="003D19A2">
        <w:rPr>
          <w:rStyle w:val="FootnoteReference"/>
          <w:lang w:eastAsia="x-none"/>
        </w:rPr>
        <w:footnoteReference w:id="165"/>
      </w:r>
      <w:r w:rsidRPr="003D19A2">
        <w:t xml:space="preserve"> The first part of the test requires a balancing act between the policy considerations of freedom and sanctity of contract which gives effect to the constitutional values of freedom and human dignity on the one hand, and another policy consideration as reflected in a constitutional right or value in support of the non-enforcement of the contract on the other.</w:t>
      </w:r>
      <w:r w:rsidR="0003721C">
        <w:rPr>
          <w:rStyle w:val="FootnoteReference"/>
        </w:rPr>
        <w:footnoteReference w:id="166"/>
      </w:r>
      <w:r w:rsidRPr="003D19A2">
        <w:t xml:space="preserve"> This examination is objective in nature</w:t>
      </w:r>
      <w:r w:rsidR="0003721C">
        <w:t xml:space="preserve"> </w:t>
      </w:r>
      <w:r w:rsidR="0003721C" w:rsidRPr="003D19A2">
        <w:t>as it deals with these values on an abstract level as reflected in the terms of the contract itself.</w:t>
      </w:r>
      <w:bookmarkStart w:id="77" w:name="_Ref482792588"/>
      <w:r w:rsidR="0003721C" w:rsidRPr="003D19A2">
        <w:rPr>
          <w:rStyle w:val="FootnoteReference"/>
        </w:rPr>
        <w:footnoteReference w:id="167"/>
      </w:r>
      <w:bookmarkEnd w:id="77"/>
      <w:r w:rsidRPr="003D19A2">
        <w:t xml:space="preserve"> </w:t>
      </w:r>
      <w:r w:rsidR="00135E63">
        <w:t>Unfortunately, th</w:t>
      </w:r>
      <w:r w:rsidR="002A49A3">
        <w:t>e</w:t>
      </w:r>
      <w:r w:rsidR="00B015FF">
        <w:t xml:space="preserve"> Court</w:t>
      </w:r>
      <w:r w:rsidR="00135E63">
        <w:t xml:space="preserve"> then</w:t>
      </w:r>
      <w:r w:rsidR="00B015FF">
        <w:t xml:space="preserve"> endorse</w:t>
      </w:r>
      <w:r w:rsidR="00135E63">
        <w:t>d</w:t>
      </w:r>
      <w:r w:rsidR="00B015FF">
        <w:t xml:space="preserve"> the idea of human dignity as empowerment</w:t>
      </w:r>
      <w:r w:rsidR="0039727F">
        <w:t xml:space="preserve"> only</w:t>
      </w:r>
      <w:r w:rsidR="00B015FF">
        <w:t xml:space="preserve"> </w:t>
      </w:r>
      <w:r w:rsidR="0039727F">
        <w:t>when it</w:t>
      </w:r>
      <w:r w:rsidR="00B015FF">
        <w:t xml:space="preserve"> </w:t>
      </w:r>
      <w:r w:rsidR="0003721C" w:rsidRPr="003D19A2">
        <w:t>reiterated that contracts freely and voluntarily entered into must gener</w:t>
      </w:r>
      <w:r w:rsidR="00B015FF">
        <w:t>ally be enforced. This is, the C</w:t>
      </w:r>
      <w:r w:rsidR="0003721C" w:rsidRPr="003D19A2">
        <w:t>ourt reasoned, because the ability to regulate your own affairs – even to your own detriment – comprises the constitutional values of freedom and dignity.</w:t>
      </w:r>
      <w:r w:rsidR="0003721C" w:rsidRPr="003D19A2">
        <w:rPr>
          <w:rStyle w:val="FootnoteReference"/>
        </w:rPr>
        <w:footnoteReference w:id="168"/>
      </w:r>
      <w:r w:rsidR="0003721C">
        <w:t xml:space="preserve"> </w:t>
      </w:r>
      <w:r w:rsidR="0039727F">
        <w:t xml:space="preserve">Therefore, </w:t>
      </w:r>
      <w:r w:rsidR="00AA678E">
        <w:t>t</w:t>
      </w:r>
      <w:r w:rsidR="00AA678E" w:rsidRPr="003D19A2">
        <w:t xml:space="preserve">he </w:t>
      </w:r>
      <w:r w:rsidR="00AA678E">
        <w:t>C</w:t>
      </w:r>
      <w:r w:rsidR="00AA678E" w:rsidRPr="003D19A2">
        <w:t>ourt did not take into consideration the idea of human dignity as constraint as reflected in the duty to respect the human dignity of the other contracting party and which would provide justification for setting aside a freely concluded contract term where it violates one of the contracting party’s human dignity.</w:t>
      </w:r>
      <w:bookmarkStart w:id="78" w:name="_Ref481424049"/>
      <w:r w:rsidR="00AA678E" w:rsidRPr="003D19A2">
        <w:rPr>
          <w:rStyle w:val="FootnoteReference"/>
        </w:rPr>
        <w:footnoteReference w:id="169"/>
      </w:r>
      <w:bookmarkEnd w:id="78"/>
      <w:r w:rsidR="00AA678E" w:rsidRPr="003D19A2">
        <w:t xml:space="preserve"> </w:t>
      </w:r>
      <w:r w:rsidR="00AA678E">
        <w:t>In other words, the C</w:t>
      </w:r>
      <w:r w:rsidR="00AA678E" w:rsidRPr="003D19A2">
        <w:t>ourt did not recognise that the constitutional value of, or right to, human dignity can also be invoked on the other side of the balancing scale to limit contractual freedom and that this would necessarily implicate the notion of fairness because it entails a balancing act of the different parties’ interests as reflected in the contract terms themselves.</w:t>
      </w:r>
    </w:p>
    <w:p w:rsidR="0039727F" w:rsidRDefault="009657E6" w:rsidP="008C2CD7">
      <w:pPr>
        <w:pStyle w:val="Newparagraph"/>
      </w:pPr>
      <w:r>
        <w:t>The C</w:t>
      </w:r>
      <w:r w:rsidR="00AA678E">
        <w:t xml:space="preserve">ourt further held that if </w:t>
      </w:r>
      <w:r w:rsidR="00F87C4C" w:rsidRPr="003D19A2">
        <w:t xml:space="preserve">the clause objectively does not violate public policy, </w:t>
      </w:r>
      <w:r w:rsidR="00AA678E">
        <w:t>it has to be determined</w:t>
      </w:r>
      <w:r w:rsidR="00F87C4C" w:rsidRPr="003D19A2">
        <w:t xml:space="preserve"> whether the clause violates public policy in light of the relative </w:t>
      </w:r>
      <w:r w:rsidR="00F87C4C" w:rsidRPr="003D19A2">
        <w:lastRenderedPageBreak/>
        <w:t xml:space="preserve">situation of the contracting parties which would include an assessment of the bargaining position of the parties which determination is subjective in nature. </w:t>
      </w:r>
      <w:r w:rsidR="00AA678E">
        <w:t xml:space="preserve">This is an extension of </w:t>
      </w:r>
      <w:r w:rsidR="0039727F">
        <w:t xml:space="preserve">the fairness test in </w:t>
      </w:r>
      <w:r w:rsidR="0039727F">
        <w:rPr>
          <w:i/>
        </w:rPr>
        <w:t xml:space="preserve">Sasfin </w:t>
      </w:r>
      <w:r w:rsidR="00AA678E">
        <w:t xml:space="preserve">which was limited to an investigation of the contract terms themselves and did not </w:t>
      </w:r>
      <w:r w:rsidR="0039727F">
        <w:t xml:space="preserve">include </w:t>
      </w:r>
      <w:r w:rsidR="00AA678E">
        <w:t>a consideration of</w:t>
      </w:r>
      <w:r w:rsidR="0039727F">
        <w:t xml:space="preserve"> the surroundin</w:t>
      </w:r>
      <w:r w:rsidR="00AA678E">
        <w:t xml:space="preserve">g circumstances. </w:t>
      </w:r>
      <w:r w:rsidR="007F6A3F">
        <w:t xml:space="preserve">It can be argued that this extension was inspired by ubuntu because it </w:t>
      </w:r>
      <w:r w:rsidR="0039727F">
        <w:t>promote</w:t>
      </w:r>
      <w:r w:rsidR="00AA678E">
        <w:t>s</w:t>
      </w:r>
      <w:r w:rsidR="0039727F">
        <w:t xml:space="preserve"> substantive e</w:t>
      </w:r>
      <w:r w:rsidR="007F6A3F">
        <w:t>quality</w:t>
      </w:r>
      <w:r w:rsidR="00490D73">
        <w:t>.</w:t>
      </w:r>
      <w:bookmarkStart w:id="79" w:name="_Ref520114248"/>
      <w:r w:rsidR="00490D73">
        <w:rPr>
          <w:rStyle w:val="FootnoteReference"/>
        </w:rPr>
        <w:footnoteReference w:id="170"/>
      </w:r>
      <w:bookmarkEnd w:id="79"/>
      <w:r w:rsidR="009F1613">
        <w:t xml:space="preserve"> Therefore, although the Court did not refer to h</w:t>
      </w:r>
      <w:r>
        <w:t>uman dignity as constraint the C</w:t>
      </w:r>
      <w:r w:rsidR="009F1613">
        <w:t xml:space="preserve">ourt’s reasoning reflects a conceptualisation of human dignity as constraint which denotes not only a duty to respect the human dignity of others but also to share in the responsibility of creating the necessary conditions for the realisation of others’ human dignity </w:t>
      </w:r>
      <w:r w:rsidR="00F30846">
        <w:t xml:space="preserve">by promoting </w:t>
      </w:r>
      <w:r w:rsidR="009F1613">
        <w:t xml:space="preserve">substantive equality. </w:t>
      </w:r>
    </w:p>
    <w:p w:rsidR="00F87C4C" w:rsidRPr="0039727F" w:rsidRDefault="00F87C4C" w:rsidP="008C2CD7">
      <w:pPr>
        <w:pStyle w:val="Newparagraph"/>
      </w:pPr>
      <w:r w:rsidRPr="003D19A2">
        <w:t>The second part of the test for fairness investigates whether, in spite of the fact that the clause itself does not violate public policy, enforcement of the clause would be fair in light of the circumstances which prevented compliance</w:t>
      </w:r>
      <w:r w:rsidR="002A49A3">
        <w:t xml:space="preserve"> therewith.</w:t>
      </w:r>
      <w:bookmarkStart w:id="80" w:name="_Ref520113840"/>
      <w:r w:rsidR="0016467B">
        <w:rPr>
          <w:rStyle w:val="FootnoteReference"/>
        </w:rPr>
        <w:footnoteReference w:id="171"/>
      </w:r>
      <w:bookmarkEnd w:id="80"/>
      <w:r w:rsidR="002A49A3">
        <w:t xml:space="preserve"> Again, t</w:t>
      </w:r>
      <w:r w:rsidRPr="003D19A2">
        <w:t>he second part of the test is</w:t>
      </w:r>
      <w:r w:rsidR="0039727F">
        <w:t xml:space="preserve"> therefore</w:t>
      </w:r>
      <w:r w:rsidR="00AA678E">
        <w:t xml:space="preserve"> </w:t>
      </w:r>
      <w:r w:rsidR="0039727F">
        <w:t>subjective in nature</w:t>
      </w:r>
      <w:r w:rsidR="004B5793">
        <w:t xml:space="preserve"> and </w:t>
      </w:r>
      <w:r w:rsidR="00AA678E">
        <w:t>promotes substantive</w:t>
      </w:r>
      <w:r w:rsidR="002F6072">
        <w:t xml:space="preserve"> equality</w:t>
      </w:r>
      <w:r w:rsidR="004B5793">
        <w:t>.</w:t>
      </w:r>
      <w:bookmarkStart w:id="81" w:name="_Ref520113794"/>
      <w:r w:rsidR="004B5793">
        <w:rPr>
          <w:rStyle w:val="FootnoteReference"/>
        </w:rPr>
        <w:footnoteReference w:id="172"/>
      </w:r>
      <w:bookmarkEnd w:id="81"/>
      <w:r w:rsidR="004B5793">
        <w:t xml:space="preserve"> </w:t>
      </w:r>
      <w:r w:rsidR="00AA678E">
        <w:t xml:space="preserve"> </w:t>
      </w:r>
      <w:r w:rsidR="004B5793">
        <w:t>Accordingly, it can be argued that it was</w:t>
      </w:r>
      <w:r w:rsidR="00AA678E">
        <w:t xml:space="preserve"> inspired by ubuntu</w:t>
      </w:r>
      <w:r w:rsidR="0039727F">
        <w:t>.</w:t>
      </w:r>
      <w:bookmarkStart w:id="82" w:name="_Ref520114226"/>
      <w:r w:rsidR="003A4C20">
        <w:rPr>
          <w:rStyle w:val="FootnoteReference"/>
        </w:rPr>
        <w:footnoteReference w:id="173"/>
      </w:r>
      <w:bookmarkEnd w:id="82"/>
      <w:r w:rsidR="0039727F">
        <w:t xml:space="preserve"> </w:t>
      </w:r>
      <w:r w:rsidR="00B63134">
        <w:t>It</w:t>
      </w:r>
      <w:r w:rsidR="00AA678E">
        <w:t xml:space="preserve"> is also </w:t>
      </w:r>
      <w:r w:rsidR="0039727F">
        <w:t xml:space="preserve">an extension of the fairness test in </w:t>
      </w:r>
      <w:r w:rsidR="0039727F">
        <w:rPr>
          <w:i/>
        </w:rPr>
        <w:t xml:space="preserve">Sasfin </w:t>
      </w:r>
      <w:r w:rsidR="0039727F">
        <w:t xml:space="preserve">as it is concerned with the unfair enforcement of a contract term </w:t>
      </w:r>
      <w:r w:rsidR="00B63134">
        <w:t xml:space="preserve">and not only whether the contract terms themselves are fair or not. </w:t>
      </w:r>
      <w:r w:rsidR="009F1613">
        <w:t>Again, this reflects a conceptualisation of human dignity as constraint which denotes not only a duty to respect the human dignity of others but also to share in the responsibility of creating the necessary conditions for the realisation of others’ human dignity through the promotion of substantive equality.</w:t>
      </w:r>
    </w:p>
    <w:p w:rsidR="00B63134" w:rsidRPr="00805181" w:rsidRDefault="00B63134" w:rsidP="008C2CD7">
      <w:pPr>
        <w:pStyle w:val="Newparagraph"/>
      </w:pPr>
      <w:r w:rsidRPr="00805181">
        <w:t xml:space="preserve">In view of the above fairness test, it is therefore unsurprising that the Court </w:t>
      </w:r>
      <w:r w:rsidRPr="00805181">
        <w:rPr>
          <w:i/>
        </w:rPr>
        <w:t>obiter</w:t>
      </w:r>
      <w:r w:rsidRPr="00805181">
        <w:t xml:space="preserve"> questioned the restricted role of good faith in the common law of contract.</w:t>
      </w:r>
      <w:r w:rsidRPr="00805181">
        <w:rPr>
          <w:rStyle w:val="FootnoteReference"/>
        </w:rPr>
        <w:footnoteReference w:id="174"/>
      </w:r>
    </w:p>
    <w:p w:rsidR="002A49A3" w:rsidRDefault="002A49A3" w:rsidP="002A49A3">
      <w:pPr>
        <w:pStyle w:val="Heading2"/>
      </w:pPr>
      <w:r>
        <w:lastRenderedPageBreak/>
        <w:t>B Bredenkamp</w:t>
      </w:r>
    </w:p>
    <w:p w:rsidR="002A49A3" w:rsidRDefault="002A49A3" w:rsidP="002A49A3">
      <w:pPr>
        <w:pStyle w:val="Paragraph"/>
        <w:rPr>
          <w:highlight w:val="yellow"/>
        </w:rPr>
      </w:pPr>
      <w:r w:rsidRPr="003D19A2">
        <w:t xml:space="preserve">The Supreme Court of Appeal struck back in </w:t>
      </w:r>
      <w:r w:rsidRPr="003D19A2">
        <w:rPr>
          <w:i/>
          <w:iCs/>
        </w:rPr>
        <w:t xml:space="preserve">Bredenkamp </w:t>
      </w:r>
      <w:r w:rsidRPr="003D19A2">
        <w:t>which dealt with the exercise of a contractual right that entitled the bank to close a client’s bank accounts on reasonable notice and for any reason.</w:t>
      </w:r>
      <w:r w:rsidRPr="003D19A2">
        <w:rPr>
          <w:rStyle w:val="FootnoteReference"/>
        </w:rPr>
        <w:footnoteReference w:id="175"/>
      </w:r>
      <w:r w:rsidRPr="003D19A2">
        <w:t xml:space="preserve"> Relying on the principles of fairness laid down in </w:t>
      </w:r>
      <w:r w:rsidRPr="003D19A2">
        <w:rPr>
          <w:i/>
          <w:iCs/>
        </w:rPr>
        <w:t>Barkhuizen</w:t>
      </w:r>
      <w:r w:rsidRPr="003D19A2">
        <w:t>, the client argued that the bank was required to exercise this right fairly and for good cause.</w:t>
      </w:r>
      <w:r w:rsidRPr="003D19A2">
        <w:rPr>
          <w:rStyle w:val="FootnoteReference"/>
        </w:rPr>
        <w:footnoteReference w:id="176"/>
      </w:r>
      <w:r w:rsidRPr="003D19A2">
        <w:t xml:space="preserve"> In other words, the client relied on the second part of the test for fairness </w:t>
      </w:r>
      <w:r w:rsidR="00135E63">
        <w:t>in</w:t>
      </w:r>
      <w:r w:rsidRPr="003D19A2">
        <w:t xml:space="preserve"> </w:t>
      </w:r>
      <w:r w:rsidRPr="003D19A2">
        <w:rPr>
          <w:i/>
          <w:iCs/>
        </w:rPr>
        <w:t xml:space="preserve">Barkhuizen </w:t>
      </w:r>
      <w:r w:rsidR="00B22775">
        <w:rPr>
          <w:iCs/>
        </w:rPr>
        <w:t>which deals with the unfair enforcement of a contract term</w:t>
      </w:r>
      <w:r w:rsidRPr="003D19A2">
        <w:t>.</w:t>
      </w:r>
      <w:r w:rsidRPr="003D19A2">
        <w:rPr>
          <w:rStyle w:val="FootnoteReference"/>
        </w:rPr>
        <w:footnoteReference w:id="177"/>
      </w:r>
    </w:p>
    <w:p w:rsidR="00632A01" w:rsidRDefault="00135E63" w:rsidP="00632A01">
      <w:pPr>
        <w:pStyle w:val="Newparagraph"/>
      </w:pPr>
      <w:r>
        <w:t>The</w:t>
      </w:r>
      <w:r w:rsidR="00D1371B">
        <w:t xml:space="preserve"> </w:t>
      </w:r>
      <w:r w:rsidR="007665A7">
        <w:t>court</w:t>
      </w:r>
      <w:r w:rsidR="00D1371B">
        <w:t xml:space="preserve"> </w:t>
      </w:r>
      <w:r w:rsidR="002A49A3" w:rsidRPr="003D19A2">
        <w:t xml:space="preserve">stated that the judgment in </w:t>
      </w:r>
      <w:r w:rsidR="002A49A3" w:rsidRPr="003D19A2">
        <w:rPr>
          <w:i/>
          <w:iCs/>
        </w:rPr>
        <w:t xml:space="preserve">Barkhuizen </w:t>
      </w:r>
      <w:r w:rsidR="002A49A3" w:rsidRPr="003D19A2">
        <w:t>did not hold that the enforcement of a valid contractual clause must be fair and reasonable where no public policy consideration in the Constitution or elsewhere is implicated.</w:t>
      </w:r>
      <w:bookmarkStart w:id="83" w:name="_Ref482794777"/>
      <w:r w:rsidR="002A49A3" w:rsidRPr="003D19A2">
        <w:rPr>
          <w:rStyle w:val="FootnoteReference"/>
        </w:rPr>
        <w:footnoteReference w:id="178"/>
      </w:r>
      <w:bookmarkEnd w:id="83"/>
      <w:r w:rsidR="002A49A3" w:rsidRPr="003D19A2">
        <w:t xml:space="preserve"> Therefore, fairness and reasonableness becomes relevant only when a specific constitutional value or right is implicated and it must be determined whether the clause or its enforcement is contrary to public policy.</w:t>
      </w:r>
      <w:bookmarkStart w:id="84" w:name="_Ref453144890"/>
      <w:r w:rsidR="002A49A3" w:rsidRPr="003D19A2">
        <w:rPr>
          <w:rStyle w:val="FootnoteReference"/>
        </w:rPr>
        <w:footnoteReference w:id="179"/>
      </w:r>
      <w:bookmarkEnd w:id="84"/>
      <w:r w:rsidR="00D1371B">
        <w:t xml:space="preserve"> </w:t>
      </w:r>
    </w:p>
    <w:p w:rsidR="002A49A3" w:rsidRDefault="00B22775" w:rsidP="00632A01">
      <w:pPr>
        <w:pStyle w:val="Newparagraph"/>
        <w:rPr>
          <w:highlight w:val="yellow"/>
        </w:rPr>
      </w:pPr>
      <w:r>
        <w:t>Following the</w:t>
      </w:r>
      <w:r w:rsidR="007665A7">
        <w:t xml:space="preserve"> Court’s</w:t>
      </w:r>
      <w:r>
        <w:t xml:space="preserve"> approach </w:t>
      </w:r>
      <w:r w:rsidR="007665A7">
        <w:t xml:space="preserve">in </w:t>
      </w:r>
      <w:r w:rsidR="007665A7">
        <w:rPr>
          <w:i/>
        </w:rPr>
        <w:t>Barkhuizen</w:t>
      </w:r>
      <w:r>
        <w:t>, the appeal court recognised that human dignity can be invoked in support of contractual autonomy and sanctity</w:t>
      </w:r>
      <w:r w:rsidR="003A4C20">
        <w:rPr>
          <w:rStyle w:val="FootnoteReference"/>
        </w:rPr>
        <w:footnoteReference w:id="180"/>
      </w:r>
      <w:r w:rsidR="003A4C20">
        <w:t xml:space="preserve"> </w:t>
      </w:r>
      <w:r>
        <w:t xml:space="preserve"> as reflected in its empowerment conception to argue for the enforcement of the contract but failed to rec</w:t>
      </w:r>
      <w:r w:rsidRPr="003D19A2">
        <w:t>ognise that human dignity</w:t>
      </w:r>
      <w:r w:rsidR="007C4DD5">
        <w:t xml:space="preserve"> as a constitutional value or right</w:t>
      </w:r>
      <w:r>
        <w:t xml:space="preserve"> </w:t>
      </w:r>
      <w:r w:rsidRPr="003D19A2">
        <w:t xml:space="preserve">can also be invoked on the other side of the balancing scale </w:t>
      </w:r>
      <w:r w:rsidR="00632A01">
        <w:t>in support of the non-enforcement of the contract</w:t>
      </w:r>
      <w:r w:rsidRPr="003D19A2">
        <w:t xml:space="preserve"> and that this would necessarily implicate the notion o</w:t>
      </w:r>
      <w:r w:rsidR="007C4DD5">
        <w:t>f fairness</w:t>
      </w:r>
      <w:r>
        <w:t>.</w:t>
      </w:r>
      <w:r w:rsidR="003F0AD5">
        <w:t xml:space="preserve"> </w:t>
      </w:r>
      <w:r w:rsidR="005324E4">
        <w:t xml:space="preserve">This approach enabled </w:t>
      </w:r>
      <w:r w:rsidR="00576D8B">
        <w:t>the appeal court to reject the idea that fairness is an overarching requirement in the common law of contract</w:t>
      </w:r>
      <w:r w:rsidR="00576D8B">
        <w:rPr>
          <w:rStyle w:val="FootnoteReference"/>
        </w:rPr>
        <w:footnoteReference w:id="181"/>
      </w:r>
      <w:r w:rsidR="00576D8B">
        <w:t xml:space="preserve"> and </w:t>
      </w:r>
      <w:r w:rsidR="005324E4">
        <w:t xml:space="preserve">it expressly </w:t>
      </w:r>
      <w:r w:rsidR="00576D8B">
        <w:t xml:space="preserve">stated that an equitable discretion cannot be allowed because it would defeat the rule of law entrenched as a founding </w:t>
      </w:r>
      <w:r w:rsidR="00630AF1">
        <w:t xml:space="preserve">constitutional </w:t>
      </w:r>
      <w:r w:rsidR="00576D8B">
        <w:t>value.</w:t>
      </w:r>
      <w:r w:rsidR="00576D8B">
        <w:rPr>
          <w:rStyle w:val="FootnoteReference"/>
        </w:rPr>
        <w:footnoteReference w:id="182"/>
      </w:r>
      <w:r w:rsidR="00576D8B">
        <w:t xml:space="preserve"> </w:t>
      </w:r>
    </w:p>
    <w:p w:rsidR="0039727F" w:rsidRPr="007C4DD5" w:rsidRDefault="000435F4" w:rsidP="007C4DD5">
      <w:pPr>
        <w:pStyle w:val="Heading2"/>
      </w:pPr>
      <w:r>
        <w:lastRenderedPageBreak/>
        <w:t>C B</w:t>
      </w:r>
      <w:r w:rsidR="007C4DD5" w:rsidRPr="007C4DD5">
        <w:t>otha</w:t>
      </w:r>
    </w:p>
    <w:p w:rsidR="0059783A" w:rsidRPr="009C3CEE" w:rsidRDefault="0059783A" w:rsidP="007C4DD5">
      <w:pPr>
        <w:pStyle w:val="Paragraph"/>
      </w:pPr>
      <w:r>
        <w:t xml:space="preserve">The Court’s </w:t>
      </w:r>
      <w:r w:rsidR="00537255">
        <w:t>development towards</w:t>
      </w:r>
      <w:r>
        <w:t xml:space="preserve"> an understanding of human dignity that reflects a multi-faceted approach that encompasses both empowerment and constraint, the latter </w:t>
      </w:r>
      <w:r w:rsidR="0045370B">
        <w:t>reflected in</w:t>
      </w:r>
      <w:r>
        <w:t xml:space="preserve"> the duties on an individual to respect </w:t>
      </w:r>
      <w:r w:rsidR="00537255">
        <w:t>other</w:t>
      </w:r>
      <w:r>
        <w:t>s</w:t>
      </w:r>
      <w:r w:rsidR="00537255">
        <w:t>’</w:t>
      </w:r>
      <w:r>
        <w:t xml:space="preserve"> human dignity and promote the conditions for the realisation</w:t>
      </w:r>
      <w:r w:rsidR="003A4C20">
        <w:t xml:space="preserve"> thereof</w:t>
      </w:r>
      <w:r w:rsidR="00537255">
        <w:t xml:space="preserve"> </w:t>
      </w:r>
      <w:r w:rsidR="004F5E23">
        <w:t>is more pronounced</w:t>
      </w:r>
      <w:r>
        <w:t xml:space="preserve"> in </w:t>
      </w:r>
      <w:r w:rsidRPr="0059783A">
        <w:rPr>
          <w:i/>
        </w:rPr>
        <w:t>Botha</w:t>
      </w:r>
      <w:r w:rsidR="009C3CEE">
        <w:t xml:space="preserve"> </w:t>
      </w:r>
      <w:r w:rsidR="0045370B">
        <w:t>which</w:t>
      </w:r>
      <w:r w:rsidR="009C3CEE">
        <w:t xml:space="preserve"> pre-dates the decision in </w:t>
      </w:r>
      <w:r w:rsidR="009C3CEE">
        <w:rPr>
          <w:i/>
        </w:rPr>
        <w:t>Barnard</w:t>
      </w:r>
      <w:r w:rsidR="009C3CEE">
        <w:t>.</w:t>
      </w:r>
      <w:r w:rsidR="009C3CEE">
        <w:rPr>
          <w:rStyle w:val="FootnoteReference"/>
        </w:rPr>
        <w:footnoteReference w:id="183"/>
      </w:r>
    </w:p>
    <w:p w:rsidR="0059783A" w:rsidRDefault="0059783A" w:rsidP="0059783A">
      <w:pPr>
        <w:pStyle w:val="Newparagraph"/>
        <w:rPr>
          <w:bCs/>
          <w:iCs/>
        </w:rPr>
      </w:pPr>
      <w:r>
        <w:t xml:space="preserve">The facts in </w:t>
      </w:r>
      <w:r w:rsidRPr="00D34B60">
        <w:rPr>
          <w:i/>
        </w:rPr>
        <w:t>Botha</w:t>
      </w:r>
      <w:r w:rsidRPr="00D34B60">
        <w:t xml:space="preserve"> </w:t>
      </w:r>
      <w:r>
        <w:t>concerned</w:t>
      </w:r>
      <w:r w:rsidRPr="00D34B60">
        <w:t xml:space="preserve"> the unfair enforcement of a cancellation clause</w:t>
      </w:r>
      <w:r>
        <w:t xml:space="preserve"> in an instalment sale of immovable property between Botha </w:t>
      </w:r>
      <w:r w:rsidR="001E6A11">
        <w:t>(</w:t>
      </w:r>
      <w:r>
        <w:t>as buyer</w:t>
      </w:r>
      <w:r w:rsidR="001E6A11">
        <w:t>)</w:t>
      </w:r>
      <w:r>
        <w:t xml:space="preserve"> and </w:t>
      </w:r>
      <w:r w:rsidR="001E6A11">
        <w:t>a</w:t>
      </w:r>
      <w:r>
        <w:t xml:space="preserve"> trust </w:t>
      </w:r>
      <w:r w:rsidR="001E6A11">
        <w:t>(</w:t>
      </w:r>
      <w:r>
        <w:t>as seller</w:t>
      </w:r>
      <w:r w:rsidR="001E6A11">
        <w:t>)</w:t>
      </w:r>
      <w:r w:rsidRPr="00D34B60">
        <w:t>.</w:t>
      </w:r>
      <w:r>
        <w:t xml:space="preserve"> </w:t>
      </w:r>
      <w:r w:rsidRPr="003D19A2">
        <w:rPr>
          <w:bCs/>
          <w:iCs/>
        </w:rPr>
        <w:t>The cancellation clause provided for the cancellation of the agreement and the forfeiture of all sums already paid by Botha in the event of a breach by her. The contract also provided that Botha may demand transfer of the property in terms of s 27 of the Alienation of Land Act 68 of 1981 after she had paid at least half the purchase price.</w:t>
      </w:r>
      <w:r w:rsidRPr="003D19A2">
        <w:rPr>
          <w:rStyle w:val="FootnoteReference"/>
          <w:bCs/>
          <w:iCs/>
        </w:rPr>
        <w:footnoteReference w:id="184"/>
      </w:r>
      <w:r w:rsidRPr="003D19A2">
        <w:rPr>
          <w:bCs/>
          <w:iCs/>
        </w:rPr>
        <w:t xml:space="preserve"> After Botha had paid three quarters of the purchase price she began to default on the payments and the trust sued for cancellation and eviction.</w:t>
      </w:r>
      <w:r w:rsidRPr="003D19A2">
        <w:rPr>
          <w:rStyle w:val="FootnoteReference"/>
          <w:bCs/>
          <w:iCs/>
        </w:rPr>
        <w:footnoteReference w:id="185"/>
      </w:r>
      <w:r w:rsidRPr="003D19A2">
        <w:rPr>
          <w:bCs/>
          <w:iCs/>
        </w:rPr>
        <w:t xml:space="preserve"> In turn, Botha demanded transfer of </w:t>
      </w:r>
      <w:r w:rsidR="00F34906">
        <w:rPr>
          <w:bCs/>
          <w:iCs/>
        </w:rPr>
        <w:t>the property in terms of s</w:t>
      </w:r>
      <w:r w:rsidRPr="003D19A2">
        <w:rPr>
          <w:bCs/>
          <w:iCs/>
        </w:rPr>
        <w:t xml:space="preserve"> 27 of the Alienation of Land Act as provided for in the contract.</w:t>
      </w:r>
      <w:r w:rsidRPr="003D19A2">
        <w:rPr>
          <w:rStyle w:val="FootnoteReference"/>
          <w:bCs/>
          <w:iCs/>
        </w:rPr>
        <w:footnoteReference w:id="186"/>
      </w:r>
    </w:p>
    <w:p w:rsidR="0069340F" w:rsidRDefault="00B53286" w:rsidP="00B53286">
      <w:pPr>
        <w:pStyle w:val="Newparagraph"/>
      </w:pPr>
      <w:r>
        <w:rPr>
          <w:bCs/>
          <w:iCs/>
        </w:rPr>
        <w:t>O</w:t>
      </w:r>
      <w:r w:rsidRPr="003D19A2">
        <w:rPr>
          <w:bCs/>
          <w:iCs/>
        </w:rPr>
        <w:t xml:space="preserve">ne of Botha’s main contentions was </w:t>
      </w:r>
      <w:r w:rsidR="00E32A4B">
        <w:rPr>
          <w:bCs/>
          <w:iCs/>
        </w:rPr>
        <w:t>‘</w:t>
      </w:r>
      <w:r w:rsidRPr="003D19A2">
        <w:rPr>
          <w:bCs/>
          <w:iCs/>
        </w:rPr>
        <w:t>t</w:t>
      </w:r>
      <w:r w:rsidRPr="003D19A2">
        <w:t xml:space="preserve">hat the enforcement of the cancellation clause, where more than </w:t>
      </w:r>
      <w:r w:rsidR="00606C96">
        <w:t>half</w:t>
      </w:r>
      <w:r w:rsidRPr="003D19A2">
        <w:t xml:space="preserve"> the purchase price has been paid, and in the face of a demand for a transfer pursuant to s 27, is contrary to public policy</w:t>
      </w:r>
      <w:r w:rsidR="00E32A4B">
        <w:t>’</w:t>
      </w:r>
      <w:r w:rsidRPr="003D19A2">
        <w:t>.</w:t>
      </w:r>
      <w:r w:rsidRPr="003D19A2">
        <w:rPr>
          <w:rStyle w:val="FootnoteReference"/>
        </w:rPr>
        <w:footnoteReference w:id="187"/>
      </w:r>
      <w:r w:rsidRPr="003D19A2">
        <w:t xml:space="preserve"> </w:t>
      </w:r>
      <w:r w:rsidR="0069340F" w:rsidRPr="003D19A2">
        <w:t xml:space="preserve">In </w:t>
      </w:r>
      <w:r w:rsidR="007665A7">
        <w:t>determining this question, the C</w:t>
      </w:r>
      <w:r w:rsidR="0069340F" w:rsidRPr="003D19A2">
        <w:t>ourt held that public policy generally requires enforcement of contractual obligations freely and voluntarily undertaken which gives effect to the constitutional values of freedom and human dignity.</w:t>
      </w:r>
      <w:r w:rsidR="0069340F" w:rsidRPr="003D19A2">
        <w:rPr>
          <w:rStyle w:val="FootnoteReference"/>
        </w:rPr>
        <w:footnoteReference w:id="188"/>
      </w:r>
      <w:r w:rsidR="0069340F">
        <w:t xml:space="preserve"> This is an endorsement of human dignity as empowerment which supports the enforcement of the contract. </w:t>
      </w:r>
    </w:p>
    <w:p w:rsidR="003F0AD5" w:rsidRDefault="0069340F" w:rsidP="00B53286">
      <w:pPr>
        <w:pStyle w:val="Newparagraph"/>
      </w:pPr>
      <w:r>
        <w:t xml:space="preserve">In support of her case, </w:t>
      </w:r>
      <w:r w:rsidR="00B53286" w:rsidRPr="003D19A2">
        <w:t>Botha contended that the cancellation of the contract, in other words the enforcement of the cancellation clause by the trustees</w:t>
      </w:r>
      <w:r w:rsidR="0091265A">
        <w:t>,</w:t>
      </w:r>
      <w:r w:rsidR="00B53286" w:rsidRPr="003D19A2">
        <w:t xml:space="preserve"> was contrary to public policy because it violated her constitutional rights.</w:t>
      </w:r>
      <w:r w:rsidR="00B53286" w:rsidRPr="003D19A2">
        <w:rPr>
          <w:rStyle w:val="FootnoteReference"/>
        </w:rPr>
        <w:footnoteReference w:id="189"/>
      </w:r>
      <w:r w:rsidR="00B53286">
        <w:t xml:space="preserve"> </w:t>
      </w:r>
      <w:r w:rsidR="00B53286" w:rsidRPr="003D19A2">
        <w:t xml:space="preserve">It is not stated which </w:t>
      </w:r>
      <w:r w:rsidR="00B53286" w:rsidRPr="003D19A2">
        <w:lastRenderedPageBreak/>
        <w:t>constitutional rights Botha implicated in her application before the Court</w:t>
      </w:r>
      <w:r w:rsidR="001A4E8D">
        <w:t xml:space="preserve"> but most likely </w:t>
      </w:r>
      <w:r w:rsidR="00B53286" w:rsidRPr="003D19A2">
        <w:t>she relied upon her rights to dignity and equality</w:t>
      </w:r>
      <w:r w:rsidR="00C61F34">
        <w:t xml:space="preserve"> as t</w:t>
      </w:r>
      <w:r w:rsidR="00C61F34" w:rsidRPr="003D19A2">
        <w:t xml:space="preserve">hese were the rights cited </w:t>
      </w:r>
      <w:r w:rsidR="003F0AD5">
        <w:t>before</w:t>
      </w:r>
      <w:r w:rsidR="00C61F34" w:rsidRPr="003D19A2">
        <w:t xml:space="preserve"> the Supreme Court of Appeal</w:t>
      </w:r>
      <w:r w:rsidR="00B53286" w:rsidRPr="003D19A2">
        <w:t>.</w:t>
      </w:r>
      <w:r w:rsidR="00B53286" w:rsidRPr="003D19A2">
        <w:rPr>
          <w:rStyle w:val="FootnoteReference"/>
        </w:rPr>
        <w:footnoteReference w:id="190"/>
      </w:r>
      <w:r>
        <w:t xml:space="preserve"> </w:t>
      </w:r>
      <w:r w:rsidR="00566730">
        <w:t xml:space="preserve">Therefore, </w:t>
      </w:r>
      <w:r w:rsidR="00D8083F">
        <w:t xml:space="preserve">it can be argued that </w:t>
      </w:r>
      <w:r w:rsidR="003F0AD5">
        <w:t>Botha invoked</w:t>
      </w:r>
      <w:r w:rsidR="00566730">
        <w:t xml:space="preserve"> </w:t>
      </w:r>
      <w:r w:rsidR="003F0AD5">
        <w:t xml:space="preserve">human dignity as the </w:t>
      </w:r>
      <w:r w:rsidR="00566730">
        <w:t xml:space="preserve">specific constitutional right or value in favour of the non-enforcement of the </w:t>
      </w:r>
      <w:r w:rsidR="00D8083F">
        <w:t>contract term</w:t>
      </w:r>
      <w:r w:rsidR="00566730">
        <w:t xml:space="preserve"> a</w:t>
      </w:r>
      <w:r w:rsidR="00D8083F">
        <w:t>s</w:t>
      </w:r>
      <w:r w:rsidR="00566730">
        <w:t xml:space="preserve"> </w:t>
      </w:r>
      <w:r w:rsidR="004F5E23">
        <w:t>required</w:t>
      </w:r>
      <w:r w:rsidR="00566730">
        <w:t xml:space="preserve"> </w:t>
      </w:r>
      <w:r w:rsidR="00F97B66">
        <w:t>by the Court in</w:t>
      </w:r>
      <w:r w:rsidR="00566730">
        <w:t xml:space="preserve"> </w:t>
      </w:r>
      <w:r w:rsidR="00566730" w:rsidRPr="00566730">
        <w:rPr>
          <w:i/>
        </w:rPr>
        <w:t>Bredenkamp</w:t>
      </w:r>
      <w:r w:rsidR="00566730">
        <w:t xml:space="preserve">. </w:t>
      </w:r>
      <w:r w:rsidR="00D8083F">
        <w:t>Furthermore</w:t>
      </w:r>
      <w:r>
        <w:t xml:space="preserve">, by linking human dignity and equality, </w:t>
      </w:r>
      <w:r w:rsidR="00566730">
        <w:t xml:space="preserve">the </w:t>
      </w:r>
      <w:r w:rsidR="00F422C7">
        <w:t xml:space="preserve">idea of human dignity as constraint </w:t>
      </w:r>
      <w:r w:rsidR="00566730">
        <w:t xml:space="preserve">refers </w:t>
      </w:r>
      <w:r w:rsidR="00F422C7">
        <w:t>not</w:t>
      </w:r>
      <w:r>
        <w:t xml:space="preserve"> only </w:t>
      </w:r>
      <w:r w:rsidR="00566730">
        <w:t xml:space="preserve">to </w:t>
      </w:r>
      <w:r>
        <w:t xml:space="preserve">a duty on the individual to respect the human dignity of another but also </w:t>
      </w:r>
      <w:r w:rsidR="00F422C7">
        <w:t xml:space="preserve">the duty </w:t>
      </w:r>
      <w:r>
        <w:t>to promote the realisation of the other’s human dignity which entails the promotion of substantive equality in the law of contract.</w:t>
      </w:r>
      <w:r w:rsidR="00F422C7">
        <w:rPr>
          <w:rStyle w:val="FootnoteReference"/>
        </w:rPr>
        <w:footnoteReference w:id="191"/>
      </w:r>
      <w:r w:rsidR="00F422C7">
        <w:t xml:space="preserve"> </w:t>
      </w:r>
    </w:p>
    <w:p w:rsidR="00B53286" w:rsidRDefault="0069340F" w:rsidP="00B53286">
      <w:pPr>
        <w:pStyle w:val="Newparagraph"/>
      </w:pPr>
      <w:r>
        <w:t xml:space="preserve">The Court then </w:t>
      </w:r>
      <w:r w:rsidR="00D8083F">
        <w:t>applied the idea of human dignity as constraint which it conceptualised through the principle of good faith</w:t>
      </w:r>
      <w:r w:rsidR="00566730">
        <w:t>:</w:t>
      </w:r>
    </w:p>
    <w:p w:rsidR="0069340F" w:rsidRDefault="0069340F" w:rsidP="0069340F">
      <w:pPr>
        <w:pStyle w:val="Displayedquotation"/>
      </w:pPr>
      <w:r w:rsidRPr="003D19A2">
        <w:t>The principle of reciprocity falls squarely within this understanding of good faith and freedom of contract, based on one’s own dignity and freedom as well as respect for the dignity and freedom of others. Bilateral contracts are almost invariably cooperative ventures where two parties have reached a deal involving performances by each in order to benefit both. Honouring that contract cannot therefore be a matter of each side pursuing his or her own self-interest without regard to the other party’s interest. Good faith is the lens through which we come to understand contracts in that way.</w:t>
      </w:r>
      <w:bookmarkStart w:id="85" w:name="_Ref450048658"/>
      <w:r w:rsidRPr="003D19A2">
        <w:rPr>
          <w:rStyle w:val="FootnoteReference"/>
        </w:rPr>
        <w:footnoteReference w:id="192"/>
      </w:r>
      <w:bookmarkEnd w:id="85"/>
    </w:p>
    <w:p w:rsidR="00AC3566" w:rsidRDefault="00D8083F" w:rsidP="00AC3566">
      <w:pPr>
        <w:pStyle w:val="Newparagraph"/>
        <w:ind w:firstLine="0"/>
      </w:pPr>
      <w:r>
        <w:t xml:space="preserve">Although this </w:t>
      </w:r>
      <w:r w:rsidRPr="00D8083F">
        <w:t xml:space="preserve">statement was made in respect of the application of the </w:t>
      </w:r>
      <w:r w:rsidRPr="00D8083F">
        <w:rPr>
          <w:i/>
        </w:rPr>
        <w:t>exceptio non adimpleti contractus</w:t>
      </w:r>
      <w:r w:rsidR="003A4C20">
        <w:t xml:space="preserve"> to the facts of the case, the C</w:t>
      </w:r>
      <w:r w:rsidRPr="00D8083F">
        <w:t xml:space="preserve">ourt </w:t>
      </w:r>
      <w:r>
        <w:t xml:space="preserve">later </w:t>
      </w:r>
      <w:r w:rsidRPr="00D8083F">
        <w:t>stated that the enforcement of the cancellation clause and the concomitant forfeiture of the purchase price already paid was unfair</w:t>
      </w:r>
      <w:r w:rsidRPr="00D8083F">
        <w:rPr>
          <w:vertAlign w:val="superscript"/>
        </w:rPr>
        <w:footnoteReference w:id="193"/>
      </w:r>
      <w:r>
        <w:t xml:space="preserve"> for the same reason</w:t>
      </w:r>
      <w:r w:rsidR="00441A52">
        <w:t>s</w:t>
      </w:r>
      <w:r w:rsidRPr="00D8083F">
        <w:t xml:space="preserve"> because it constituted a disproportionate penalty in circumstances where three-quarters of the purchase price has already been paid.</w:t>
      </w:r>
      <w:r w:rsidRPr="00D8083F">
        <w:rPr>
          <w:vertAlign w:val="superscript"/>
        </w:rPr>
        <w:footnoteReference w:id="194"/>
      </w:r>
    </w:p>
    <w:p w:rsidR="00C22547" w:rsidRDefault="00585A79" w:rsidP="00585A79">
      <w:pPr>
        <w:pStyle w:val="Newparagraph"/>
        <w:ind w:firstLine="0"/>
      </w:pPr>
      <w:r>
        <w:lastRenderedPageBreak/>
        <w:tab/>
        <w:t xml:space="preserve">The Court’s decision </w:t>
      </w:r>
      <w:r w:rsidR="00F97B66">
        <w:t>can therefore be viewed as</w:t>
      </w:r>
      <w:r>
        <w:t xml:space="preserve"> an application of the test for fairness as set out in </w:t>
      </w:r>
      <w:r>
        <w:rPr>
          <w:i/>
        </w:rPr>
        <w:t xml:space="preserve">Barkhuizen </w:t>
      </w:r>
      <w:r w:rsidR="003A4C20" w:rsidRPr="003A4C20">
        <w:t>and</w:t>
      </w:r>
      <w:r w:rsidR="003A4C20">
        <w:rPr>
          <w:i/>
        </w:rPr>
        <w:t xml:space="preserve"> </w:t>
      </w:r>
      <w:r>
        <w:t xml:space="preserve">as further expanded upon in </w:t>
      </w:r>
      <w:r w:rsidRPr="00585A79">
        <w:rPr>
          <w:i/>
        </w:rPr>
        <w:t>Bredenkamp</w:t>
      </w:r>
      <w:r>
        <w:t xml:space="preserve">. </w:t>
      </w:r>
      <w:r w:rsidRPr="00585A79">
        <w:t>B</w:t>
      </w:r>
      <w:r w:rsidR="00AC3566" w:rsidRPr="00585A79">
        <w:t>y</w:t>
      </w:r>
      <w:r w:rsidR="00AC3566" w:rsidRPr="003D19A2">
        <w:t xml:space="preserve"> referring to both parties’ human dignity</w:t>
      </w:r>
      <w:r w:rsidR="00AC3566" w:rsidRPr="003D19A2">
        <w:rPr>
          <w:rStyle w:val="FootnoteReference"/>
        </w:rPr>
        <w:footnoteReference w:id="195"/>
      </w:r>
      <w:r w:rsidR="00AC3566" w:rsidRPr="003D19A2">
        <w:t xml:space="preserve"> the </w:t>
      </w:r>
      <w:r w:rsidR="00AC3566">
        <w:t>C</w:t>
      </w:r>
      <w:r w:rsidR="00AC3566" w:rsidRPr="003D19A2">
        <w:t>ourt</w:t>
      </w:r>
      <w:r w:rsidR="00AC3566">
        <w:t xml:space="preserve"> </w:t>
      </w:r>
      <w:r w:rsidR="00AC3566" w:rsidRPr="003D19A2">
        <w:t xml:space="preserve">recognised that determining the fairness of a contract term or the enforcement thereof will always entail a balancing act between the human dignity of the contracting party who wants to enforce the contract term as expressed through the maxims of freedom and sanctity of contract and the human dignity of the other contracting party who avers that the contract term </w:t>
      </w:r>
      <w:r w:rsidR="004F5E23">
        <w:t xml:space="preserve">or its enforcement </w:t>
      </w:r>
      <w:r w:rsidR="00AC3566" w:rsidRPr="003D19A2">
        <w:t xml:space="preserve">infringes her human dignity as expressed in the demand that a human being should never be treated merely as a means to an end, but always also as an end. </w:t>
      </w:r>
      <w:r w:rsidR="003A4C20">
        <w:t>T</w:t>
      </w:r>
      <w:r w:rsidR="00AC3566" w:rsidRPr="003D19A2">
        <w:t>his means that the unique set of ends of both parties must be harmonised which entails that the court has to weigh up the interests of both parties in order to determine whether the contract term</w:t>
      </w:r>
      <w:r w:rsidR="00AC3566">
        <w:t xml:space="preserve"> or its enforcement</w:t>
      </w:r>
      <w:r w:rsidR="00AC3566" w:rsidRPr="003D19A2">
        <w:t xml:space="preserve"> constitutes an unfair infringement of one of the party’s interests and hence violates her human dignity. Consequently, </w:t>
      </w:r>
      <w:r w:rsidR="003F0AD5">
        <w:t>by</w:t>
      </w:r>
      <w:r w:rsidR="00AC3566" w:rsidRPr="003D19A2">
        <w:t xml:space="preserve"> </w:t>
      </w:r>
      <w:r w:rsidR="003F0AD5">
        <w:t xml:space="preserve">impliedly </w:t>
      </w:r>
      <w:r w:rsidR="00AC3566" w:rsidRPr="003D19A2">
        <w:t>invok</w:t>
      </w:r>
      <w:r w:rsidR="003F0AD5">
        <w:t>ing</w:t>
      </w:r>
      <w:r w:rsidR="00AC3566" w:rsidRPr="003D19A2">
        <w:t xml:space="preserve"> the concept of human dignity as constrain</w:t>
      </w:r>
      <w:r w:rsidR="003A4C20">
        <w:t>t through the principle of good faith the C</w:t>
      </w:r>
      <w:r w:rsidR="00AC3566" w:rsidRPr="003D19A2">
        <w:t xml:space="preserve">ourt </w:t>
      </w:r>
      <w:r w:rsidR="003F0AD5">
        <w:t xml:space="preserve">was able </w:t>
      </w:r>
      <w:r w:rsidR="00AC3566" w:rsidRPr="003D19A2">
        <w:t>to apply the subjective test for fairness in determining whether the enforcement of the cancellation clause was unfair. In coming to the decision that the enforcement of the cance</w:t>
      </w:r>
      <w:r w:rsidR="007665A7">
        <w:t>llation clause was unfair, the C</w:t>
      </w:r>
      <w:r w:rsidR="00AC3566" w:rsidRPr="003D19A2">
        <w:t>ourt took specific notice of the fact that the cancellation in the specific circumstances of the case would entail the forfeiture of almost three-quarters of the purchase price that was already paid by Botha</w:t>
      </w:r>
      <w:r w:rsidR="003F0AD5">
        <w:t xml:space="preserve"> while the trus</w:t>
      </w:r>
      <w:r w:rsidR="007665A7">
        <w:t>t would keep the property. The C</w:t>
      </w:r>
      <w:r w:rsidR="003F0AD5">
        <w:t>ourt thus balanced the interests of the parties and came to the conclusion that the enforcement of the contract term would be unfair.</w:t>
      </w:r>
    </w:p>
    <w:p w:rsidR="00FD4677" w:rsidRPr="003D19A2" w:rsidRDefault="007665A7" w:rsidP="00FD4677">
      <w:pPr>
        <w:pStyle w:val="Newparagraph"/>
      </w:pPr>
      <w:r>
        <w:t>As the C</w:t>
      </w:r>
      <w:r w:rsidR="00AC3566" w:rsidRPr="003D19A2">
        <w:t xml:space="preserve">ourt </w:t>
      </w:r>
      <w:r w:rsidR="00C52424">
        <w:t>l</w:t>
      </w:r>
      <w:r w:rsidR="00AC3566" w:rsidRPr="003D19A2">
        <w:t>inked good faith to both duties as reflected in human dignity as constraint, namely to respect and promote</w:t>
      </w:r>
      <w:r w:rsidR="003F0AD5">
        <w:t xml:space="preserve"> the realisation of</w:t>
      </w:r>
      <w:r w:rsidR="00AC3566" w:rsidRPr="003D19A2">
        <w:t xml:space="preserve"> the human dignity of the other contracting party</w:t>
      </w:r>
      <w:r w:rsidR="00C52424">
        <w:t xml:space="preserve"> through the idea substantive equality</w:t>
      </w:r>
      <w:r w:rsidR="00AC3566" w:rsidRPr="003D19A2">
        <w:t>, the decision relies by implication on ubuntu. As was argued above,</w:t>
      </w:r>
      <w:r w:rsidR="00AC3566" w:rsidRPr="003D19A2">
        <w:rPr>
          <w:rStyle w:val="FootnoteReference"/>
        </w:rPr>
        <w:footnoteReference w:id="196"/>
      </w:r>
      <w:r w:rsidR="00AC3566" w:rsidRPr="003D19A2">
        <w:t xml:space="preserve"> the subjective part of the </w:t>
      </w:r>
      <w:r w:rsidR="003F0AD5">
        <w:t>test for fairness which includes considerations based on</w:t>
      </w:r>
      <w:r w:rsidR="00AC3566" w:rsidRPr="003D19A2">
        <w:t xml:space="preserve"> substantive equality is an expression of ubuntu</w:t>
      </w:r>
      <w:r w:rsidR="00C52424">
        <w:t xml:space="preserve"> because </w:t>
      </w:r>
      <w:r w:rsidR="00AC3566" w:rsidRPr="003D19A2">
        <w:t>it requires an investigation into the contracting parties’ actual social and economic conditions. Accordingly, ubuntu c</w:t>
      </w:r>
      <w:r w:rsidR="000A7FA9">
        <w:t>an be construed as the subtext. Thus, it</w:t>
      </w:r>
      <w:r w:rsidR="00A1294C">
        <w:t xml:space="preserve"> is unfortunate that the Court did not refer to ubuntu </w:t>
      </w:r>
      <w:r w:rsidR="000A7FA9">
        <w:t xml:space="preserve">expressly as doing so could </w:t>
      </w:r>
      <w:r w:rsidR="00A1294C">
        <w:t xml:space="preserve">have enabled the court </w:t>
      </w:r>
      <w:r w:rsidR="00A1294C">
        <w:lastRenderedPageBreak/>
        <w:t xml:space="preserve">to consider </w:t>
      </w:r>
      <w:r w:rsidR="00FD4677">
        <w:t>furth</w:t>
      </w:r>
      <w:r w:rsidR="00AC3566" w:rsidRPr="003D19A2">
        <w:t>er factors in favour of the non-enforce</w:t>
      </w:r>
      <w:r w:rsidR="00FD4677">
        <w:t>ment of the cancellation clause</w:t>
      </w:r>
      <w:r w:rsidR="004F5E23">
        <w:t xml:space="preserve">. </w:t>
      </w:r>
      <w:r w:rsidR="00FD4677" w:rsidRPr="003D19A2">
        <w:t>For example, Hawthorne argued that the parties were in an unequal bargaining relationship:</w:t>
      </w:r>
    </w:p>
    <w:p w:rsidR="00FD4677" w:rsidRPr="003D19A2" w:rsidRDefault="00FD4677" w:rsidP="00FD4677">
      <w:pPr>
        <w:pStyle w:val="Displayedquotation"/>
      </w:pPr>
      <w:r w:rsidRPr="003D19A2">
        <w:t>To enter into an instalment sales contract in terms of which the purchaser agrees to losing everything in the event of defaulting is a clear indication that the purchaser, Botha (and every other instalment purchaser), had little negotiating power in reaching this agreement. If she had been in a stronger position she would have qualified for a mortgage initially.</w:t>
      </w:r>
      <w:r w:rsidRPr="003D19A2">
        <w:rPr>
          <w:rStyle w:val="FootnoteReference"/>
        </w:rPr>
        <w:footnoteReference w:id="197"/>
      </w:r>
      <w:r w:rsidRPr="003D19A2">
        <w:t xml:space="preserve"> </w:t>
      </w:r>
    </w:p>
    <w:p w:rsidR="00AC3566" w:rsidRDefault="00FD4677" w:rsidP="003B71D1">
      <w:pPr>
        <w:pStyle w:val="Paragraph"/>
      </w:pPr>
      <w:r w:rsidRPr="003D19A2">
        <w:t>A further possible factor is the fact that Botha used the property to operate a laundry service through a closed corporation of which she was the sole member.</w:t>
      </w:r>
      <w:r w:rsidRPr="003D19A2">
        <w:rPr>
          <w:rStyle w:val="FootnoteReference"/>
        </w:rPr>
        <w:footnoteReference w:id="198"/>
      </w:r>
      <w:r w:rsidRPr="003D19A2">
        <w:t xml:space="preserve"> Losing the property would probably mean that she would no longer be able to operate her business which provided her with a substantial part (if not the sole source) of her income.</w:t>
      </w:r>
      <w:r w:rsidRPr="003D19A2">
        <w:rPr>
          <w:rStyle w:val="FootnoteReference"/>
        </w:rPr>
        <w:footnoteReference w:id="199"/>
      </w:r>
      <w:r w:rsidRPr="003D19A2">
        <w:t xml:space="preserve"> Therefore, enforcement of the cancellation clause, coupled with the forfeiture of the purchase price already paid, might well have resulted in the dep</w:t>
      </w:r>
      <w:r w:rsidR="00A1294C">
        <w:t>rivation of Botha’s livelihood.</w:t>
      </w:r>
    </w:p>
    <w:p w:rsidR="00C22547" w:rsidRDefault="001D606D" w:rsidP="00C22547">
      <w:pPr>
        <w:pStyle w:val="Heading1"/>
      </w:pPr>
      <w:r>
        <w:t>V</w:t>
      </w:r>
      <w:r w:rsidR="00C22547">
        <w:t xml:space="preserve"> CONCLUSION</w:t>
      </w:r>
    </w:p>
    <w:p w:rsidR="00AC3566" w:rsidRDefault="00585A79" w:rsidP="00C22547">
      <w:pPr>
        <w:pStyle w:val="Paragraph"/>
      </w:pPr>
      <w:r>
        <w:t xml:space="preserve">The </w:t>
      </w:r>
      <w:r w:rsidR="00AC3566" w:rsidRPr="003D19A2">
        <w:t xml:space="preserve">above analysis </w:t>
      </w:r>
      <w:r>
        <w:t>illustrates that the</w:t>
      </w:r>
      <w:r w:rsidR="00AC3566" w:rsidRPr="003D19A2">
        <w:t xml:space="preserve"> Court is in the process of developing the aspect of human dignity as constraint in the common law of contract which is the result of the harmonisation of Kantian dignity and ubuntu. In this respect, human dignity as constraint would refer to the duty to respect the human dignity of the other party </w:t>
      </w:r>
      <w:r w:rsidR="00C52424">
        <w:t xml:space="preserve">as well as </w:t>
      </w:r>
      <w:r w:rsidR="00AC3566" w:rsidRPr="003D19A2">
        <w:t xml:space="preserve">the duty to promote the realisation of the other party’s human dignity through the idea of substantive equality. </w:t>
      </w:r>
    </w:p>
    <w:p w:rsidR="003E16CD" w:rsidRPr="003E16CD" w:rsidRDefault="00585A79" w:rsidP="00C52424">
      <w:pPr>
        <w:pStyle w:val="Newparagraph"/>
      </w:pPr>
      <w:r>
        <w:t>The</w:t>
      </w:r>
      <w:r w:rsidR="00AC3566" w:rsidRPr="003D19A2">
        <w:t xml:space="preserve"> recognition of human dignity as</w:t>
      </w:r>
      <w:r>
        <w:t xml:space="preserve"> both empowerment and</w:t>
      </w:r>
      <w:r w:rsidR="00AC3566" w:rsidRPr="003D19A2">
        <w:t xml:space="preserve"> constraint in the common law of contract through the open norm of public policy inevitably </w:t>
      </w:r>
      <w:r>
        <w:t xml:space="preserve">requires a </w:t>
      </w:r>
      <w:r w:rsidR="00AC3566" w:rsidRPr="003D19A2">
        <w:t xml:space="preserve">balancing act between </w:t>
      </w:r>
      <w:r>
        <w:t>the interests of the parties. T</w:t>
      </w:r>
      <w:r w:rsidR="00AC3566" w:rsidRPr="003D19A2">
        <w:t xml:space="preserve">he contracting party who wishes to </w:t>
      </w:r>
      <w:r w:rsidR="00AC3566" w:rsidRPr="003D19A2">
        <w:lastRenderedPageBreak/>
        <w:t xml:space="preserve">enforce the contract term relies on freedom and sanctity of contract as opposed to the other contracting party who avers that the contract term infringes her human dignity, as expressed in the demand that a human being should never be treated merely as a means to an end, but always also as an end. Accordingly, </w:t>
      </w:r>
      <w:r w:rsidR="007665A7">
        <w:t>a c</w:t>
      </w:r>
      <w:r w:rsidR="00AC3566" w:rsidRPr="003D19A2">
        <w:t>ourt will always have to balance the interests of the contracting parties in order to determine whether a contract term or its enforcement constitutes an unfair infringement of one of the party’s interests and hence violates her human dignity.</w:t>
      </w:r>
      <w:r>
        <w:t xml:space="preserve"> Therefore, the multi-facetted approach to human dignity </w:t>
      </w:r>
      <w:r w:rsidR="00AC3566" w:rsidRPr="003D19A2">
        <w:t xml:space="preserve">means that notion of fairness </w:t>
      </w:r>
      <w:r w:rsidR="00C52424">
        <w:t>is</w:t>
      </w:r>
      <w:r w:rsidR="00AC3566" w:rsidRPr="003D19A2">
        <w:t xml:space="preserve"> always implicated when </w:t>
      </w:r>
      <w:r w:rsidR="007665A7">
        <w:t>a</w:t>
      </w:r>
      <w:r w:rsidR="00AC3566" w:rsidRPr="003D19A2">
        <w:t xml:space="preserve"> court has to determine whether a contract term or its enforcement is contrary to public policy. </w:t>
      </w:r>
      <w:r w:rsidR="003F0AD5">
        <w:t>Therefore</w:t>
      </w:r>
      <w:r>
        <w:t>, the</w:t>
      </w:r>
      <w:r w:rsidR="00AC3566" w:rsidRPr="003D19A2">
        <w:t xml:space="preserve"> proper appreciation of the constitutional value of human dignity in the common law of contract results in a general equitable discretion to declare unfair contract terms or the unfair enforcement of contract terms invalid. </w:t>
      </w:r>
      <w:r w:rsidR="004F5E23">
        <w:t>Finally, it</w:t>
      </w:r>
      <w:r w:rsidR="00530E86">
        <w:t xml:space="preserve"> is submitted that the Court in </w:t>
      </w:r>
      <w:r w:rsidR="00C22547">
        <w:rPr>
          <w:i/>
        </w:rPr>
        <w:t>Botha</w:t>
      </w:r>
      <w:r w:rsidR="00C22547">
        <w:t xml:space="preserve"> </w:t>
      </w:r>
      <w:r w:rsidR="00FD0D0F">
        <w:t xml:space="preserve">created such an equitable discretion by conceptualising the idea of human dignity as constraint through the principle of </w:t>
      </w:r>
      <w:r w:rsidR="00AC3566" w:rsidRPr="003D19A2">
        <w:t>good faith</w:t>
      </w:r>
      <w:r w:rsidR="00FD0D0F">
        <w:t xml:space="preserve">. </w:t>
      </w:r>
    </w:p>
    <w:sectPr w:rsidR="003E16CD" w:rsidRPr="003E16CD" w:rsidSect="00802DBA">
      <w:footerReference w:type="default" r:id="rId8"/>
      <w:pgSz w:w="11901" w:h="16840" w:code="9"/>
      <w:pgMar w:top="1418" w:right="1701" w:bottom="1418" w:left="17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8FD" w:rsidRDefault="00E768FD" w:rsidP="00AF2C92">
      <w:r>
        <w:separator/>
      </w:r>
    </w:p>
  </w:endnote>
  <w:endnote w:type="continuationSeparator" w:id="0">
    <w:p w:rsidR="00E768FD" w:rsidRDefault="00E768FD"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626446"/>
      <w:docPartObj>
        <w:docPartGallery w:val="Page Numbers (Bottom of Page)"/>
        <w:docPartUnique/>
      </w:docPartObj>
    </w:sdtPr>
    <w:sdtEndPr>
      <w:rPr>
        <w:noProof/>
      </w:rPr>
    </w:sdtEndPr>
    <w:sdtContent>
      <w:p w:rsidR="00B613DB" w:rsidRDefault="00B613DB">
        <w:pPr>
          <w:pStyle w:val="Footer"/>
          <w:jc w:val="center"/>
        </w:pPr>
        <w:r>
          <w:fldChar w:fldCharType="begin"/>
        </w:r>
        <w:r>
          <w:instrText xml:space="preserve"> PAGE   \* MERGEFORMAT </w:instrText>
        </w:r>
        <w:r>
          <w:fldChar w:fldCharType="separate"/>
        </w:r>
        <w:r w:rsidR="00A8068A">
          <w:rPr>
            <w:noProof/>
          </w:rPr>
          <w:t>15</w:t>
        </w:r>
        <w:r>
          <w:rPr>
            <w:noProof/>
          </w:rPr>
          <w:fldChar w:fldCharType="end"/>
        </w:r>
      </w:p>
    </w:sdtContent>
  </w:sdt>
  <w:p w:rsidR="00B613DB" w:rsidRDefault="00B613D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8FD" w:rsidRDefault="00E768FD" w:rsidP="00AF2C92">
      <w:r>
        <w:separator/>
      </w:r>
    </w:p>
  </w:footnote>
  <w:footnote w:type="continuationSeparator" w:id="0">
    <w:p w:rsidR="00E768FD" w:rsidRDefault="00E768FD" w:rsidP="00AF2C92">
      <w:r>
        <w:continuationSeparator/>
      </w:r>
    </w:p>
  </w:footnote>
  <w:footnote w:id="1">
    <w:p w:rsidR="00B613DB" w:rsidRDefault="00B613DB" w:rsidP="002F6072">
      <w:pPr>
        <w:pStyle w:val="FootnoteText"/>
      </w:pPr>
      <w:r>
        <w:t>*</w:t>
      </w:r>
      <w:r>
        <w:tab/>
        <w:t xml:space="preserve">Senior Lecturer, Department of Private Law, University of South Africa. </w:t>
      </w:r>
    </w:p>
    <w:p w:rsidR="00B613DB" w:rsidRPr="00706AEF" w:rsidRDefault="00B613DB" w:rsidP="002F6072">
      <w:pPr>
        <w:pStyle w:val="FootnoteText"/>
      </w:pPr>
      <w:r>
        <w:rPr>
          <w:rStyle w:val="FootnoteReference"/>
        </w:rPr>
        <w:footnoteRef/>
      </w:r>
      <w:r>
        <w:t xml:space="preserve"> </w:t>
      </w:r>
      <w:r>
        <w:tab/>
        <w:t xml:space="preserve">This article is based on research forming part my thesis entitled </w:t>
      </w:r>
      <w:r w:rsidRPr="00AA1254">
        <w:rPr>
          <w:i/>
        </w:rPr>
        <w:t>The harmonisation of good faith and ubuntu in the South African common law of contract</w:t>
      </w:r>
      <w:r w:rsidRPr="00AA1254">
        <w:t xml:space="preserve"> (LLD U</w:t>
      </w:r>
      <w:r>
        <w:t>niversity of South Africa</w:t>
      </w:r>
      <w:r w:rsidRPr="00AA1254">
        <w:t xml:space="preserve"> 2017). The research for this thesis was</w:t>
      </w:r>
      <w:r>
        <w:t xml:space="preserve"> funded by a grant from Unisa’s Academic Qualification Improvement Programme from 2014-2017. The views expressed in this article are mine and should not be attributed to Unisa or any other institution. All errors remain my own.</w:t>
      </w:r>
    </w:p>
  </w:footnote>
  <w:footnote w:id="2">
    <w:p w:rsidR="00B613DB" w:rsidRPr="00BB1B1E" w:rsidRDefault="00B613DB" w:rsidP="002F6072">
      <w:pPr>
        <w:pStyle w:val="FootnoteText"/>
      </w:pPr>
      <w:r>
        <w:rPr>
          <w:rStyle w:val="FootnoteReference"/>
        </w:rPr>
        <w:footnoteRef/>
      </w:r>
      <w:r>
        <w:t xml:space="preserve"> </w:t>
      </w:r>
      <w:r>
        <w:tab/>
        <w:t xml:space="preserve">For a detailed legal historical exposition of the role of fairness in the South African common law of contract see Du Plessis (note </w:t>
      </w:r>
      <w:r>
        <w:fldChar w:fldCharType="begin"/>
      </w:r>
      <w:r>
        <w:instrText xml:space="preserve"> NOTEREF _Ref510089702 \h  \* MERGEFORMAT </w:instrText>
      </w:r>
      <w:r>
        <w:fldChar w:fldCharType="separate"/>
      </w:r>
      <w:r w:rsidR="00F97B66">
        <w:t>1</w:t>
      </w:r>
      <w:r>
        <w:fldChar w:fldCharType="end"/>
      </w:r>
      <w:r>
        <w:t xml:space="preserve"> above) ch 2.</w:t>
      </w:r>
    </w:p>
  </w:footnote>
  <w:footnote w:id="3">
    <w:p w:rsidR="00B613DB" w:rsidRDefault="00B613DB" w:rsidP="002F6072">
      <w:pPr>
        <w:pStyle w:val="FootnoteText"/>
      </w:pPr>
      <w:r>
        <w:rPr>
          <w:rStyle w:val="FootnoteReference"/>
        </w:rPr>
        <w:footnoteRef/>
      </w:r>
      <w:r>
        <w:t xml:space="preserve"> </w:t>
      </w:r>
      <w:r>
        <w:tab/>
      </w:r>
      <w:r w:rsidRPr="003D19A2">
        <w:rPr>
          <w:i/>
          <w:iCs/>
          <w:lang w:val="en-GB"/>
        </w:rPr>
        <w:t>Barkhuizen v Napier</w:t>
      </w:r>
      <w:r w:rsidRPr="003D19A2">
        <w:rPr>
          <w:lang w:val="en-GB"/>
        </w:rPr>
        <w:t xml:space="preserve"> </w:t>
      </w:r>
      <w:r w:rsidRPr="0021082B">
        <w:rPr>
          <w:lang w:val="en-GB"/>
        </w:rPr>
        <w:t>[2007] ZACC 5</w:t>
      </w:r>
      <w:r>
        <w:rPr>
          <w:lang w:val="en-GB"/>
        </w:rPr>
        <w:t xml:space="preserve">, </w:t>
      </w:r>
      <w:r w:rsidRPr="003D19A2">
        <w:rPr>
          <w:lang w:val="en-GB"/>
        </w:rPr>
        <w:t>2007 5 SA 323 (CC)</w:t>
      </w:r>
      <w:r>
        <w:rPr>
          <w:lang w:val="en-GB"/>
        </w:rPr>
        <w:t xml:space="preserve"> (‘</w:t>
      </w:r>
      <w:r>
        <w:rPr>
          <w:i/>
          <w:lang w:val="en-GB"/>
        </w:rPr>
        <w:t>Barkhuizen</w:t>
      </w:r>
      <w:r w:rsidRPr="0021082B">
        <w:rPr>
          <w:lang w:val="en-GB"/>
        </w:rPr>
        <w:t>’</w:t>
      </w:r>
      <w:r>
        <w:rPr>
          <w:lang w:val="en-GB"/>
        </w:rPr>
        <w:t>).</w:t>
      </w:r>
    </w:p>
  </w:footnote>
  <w:footnote w:id="4">
    <w:p w:rsidR="00B613DB" w:rsidRPr="00A43B78" w:rsidRDefault="00B613DB" w:rsidP="002F6072">
      <w:pPr>
        <w:pStyle w:val="FootnoteText"/>
      </w:pPr>
      <w:r>
        <w:rPr>
          <w:rStyle w:val="FootnoteReference"/>
        </w:rPr>
        <w:footnoteRef/>
      </w:r>
      <w:r>
        <w:t xml:space="preserve"> </w:t>
      </w:r>
      <w:r>
        <w:tab/>
      </w:r>
      <w:r w:rsidRPr="003D19A2">
        <w:rPr>
          <w:bCs/>
          <w:i/>
          <w:iCs/>
          <w:lang w:val="en-GB"/>
        </w:rPr>
        <w:t xml:space="preserve">Bredenkamp and others v Standard Bank of South Africa Ltd </w:t>
      </w:r>
      <w:r w:rsidRPr="00A43B78">
        <w:t>[2010] ZASCA 75</w:t>
      </w:r>
      <w:r>
        <w:t xml:space="preserve">, </w:t>
      </w:r>
      <w:r w:rsidRPr="003D19A2">
        <w:rPr>
          <w:bCs/>
          <w:lang w:val="en-GB"/>
        </w:rPr>
        <w:t>2010 4 SA 468 (SCA)</w:t>
      </w:r>
      <w:r>
        <w:rPr>
          <w:bCs/>
          <w:lang w:val="en-GB"/>
        </w:rPr>
        <w:t xml:space="preserve"> (‘</w:t>
      </w:r>
      <w:r>
        <w:rPr>
          <w:bCs/>
          <w:i/>
          <w:lang w:val="en-GB"/>
        </w:rPr>
        <w:t>Bredenkamp</w:t>
      </w:r>
      <w:r>
        <w:rPr>
          <w:bCs/>
          <w:lang w:val="en-GB"/>
        </w:rPr>
        <w:t>’).</w:t>
      </w:r>
    </w:p>
  </w:footnote>
  <w:footnote w:id="5">
    <w:p w:rsidR="00B613DB" w:rsidRPr="00645CEE" w:rsidRDefault="00B613DB" w:rsidP="002F6072">
      <w:pPr>
        <w:pStyle w:val="FootnoteText"/>
      </w:pPr>
      <w:r>
        <w:rPr>
          <w:rStyle w:val="FootnoteReference"/>
        </w:rPr>
        <w:footnoteRef/>
      </w:r>
      <w:r>
        <w:t xml:space="preserve"> </w:t>
      </w:r>
      <w:r>
        <w:tab/>
      </w:r>
      <w:r w:rsidRPr="003D19A2">
        <w:rPr>
          <w:i/>
          <w:iCs/>
          <w:lang w:val="en-GB"/>
        </w:rPr>
        <w:t>Botha and another v Rich NO and others</w:t>
      </w:r>
      <w:r w:rsidRPr="003D19A2">
        <w:rPr>
          <w:lang w:val="en-GB"/>
        </w:rPr>
        <w:t xml:space="preserve"> </w:t>
      </w:r>
      <w:r w:rsidRPr="00A43B78">
        <w:t>[2014] ZACC 11</w:t>
      </w:r>
      <w:r>
        <w:t xml:space="preserve">, </w:t>
      </w:r>
      <w:r w:rsidRPr="003D19A2">
        <w:rPr>
          <w:lang w:val="en-GB"/>
        </w:rPr>
        <w:t>2014 4 SA 124 (CC)</w:t>
      </w:r>
      <w:r>
        <w:rPr>
          <w:lang w:val="en-GB"/>
        </w:rPr>
        <w:t xml:space="preserve"> (‘</w:t>
      </w:r>
      <w:r>
        <w:rPr>
          <w:i/>
          <w:lang w:val="en-GB"/>
        </w:rPr>
        <w:t>Botha</w:t>
      </w:r>
      <w:r>
        <w:rPr>
          <w:lang w:val="en-GB"/>
        </w:rPr>
        <w:t>’)</w:t>
      </w:r>
      <w:r>
        <w:t>.</w:t>
      </w:r>
    </w:p>
  </w:footnote>
  <w:footnote w:id="6">
    <w:p w:rsidR="00B613DB" w:rsidRDefault="00B613DB" w:rsidP="002F6072">
      <w:pPr>
        <w:pStyle w:val="FootnoteText"/>
      </w:pPr>
      <w:r>
        <w:rPr>
          <w:rStyle w:val="FootnoteReference"/>
        </w:rPr>
        <w:footnoteRef/>
      </w:r>
      <w:r>
        <w:t xml:space="preserve"> </w:t>
      </w:r>
      <w:r>
        <w:tab/>
        <w:t xml:space="preserve">M </w:t>
      </w:r>
      <w:r w:rsidRPr="00F34906">
        <w:rPr>
          <w:lang w:val="en-GB"/>
        </w:rPr>
        <w:t xml:space="preserve">Wallis </w:t>
      </w:r>
      <w:r>
        <w:rPr>
          <w:lang w:val="en-GB"/>
        </w:rPr>
        <w:t>‘Commercial certainty and constitutionalism: are they compatible?’ (</w:t>
      </w:r>
      <w:r w:rsidRPr="00F34906">
        <w:rPr>
          <w:lang w:val="en-GB"/>
        </w:rPr>
        <w:t>2016</w:t>
      </w:r>
      <w:r>
        <w:rPr>
          <w:lang w:val="en-GB"/>
        </w:rPr>
        <w:t>) 133</w:t>
      </w:r>
      <w:r w:rsidRPr="00F34906">
        <w:rPr>
          <w:lang w:val="en-GB"/>
        </w:rPr>
        <w:t xml:space="preserve"> </w:t>
      </w:r>
      <w:r w:rsidRPr="00F34906">
        <w:rPr>
          <w:i/>
          <w:iCs/>
          <w:lang w:val="en-GB"/>
        </w:rPr>
        <w:t>S</w:t>
      </w:r>
      <w:r>
        <w:rPr>
          <w:i/>
          <w:iCs/>
          <w:lang w:val="en-GB"/>
        </w:rPr>
        <w:t xml:space="preserve">outh </w:t>
      </w:r>
      <w:r w:rsidRPr="00F34906">
        <w:rPr>
          <w:i/>
          <w:iCs/>
          <w:lang w:val="en-GB"/>
        </w:rPr>
        <w:t>A</w:t>
      </w:r>
      <w:r>
        <w:rPr>
          <w:i/>
          <w:iCs/>
          <w:lang w:val="en-GB"/>
        </w:rPr>
        <w:t xml:space="preserve">frican </w:t>
      </w:r>
      <w:r w:rsidRPr="00F34906">
        <w:rPr>
          <w:i/>
          <w:iCs/>
          <w:lang w:val="en-GB"/>
        </w:rPr>
        <w:t>L</w:t>
      </w:r>
      <w:r>
        <w:rPr>
          <w:i/>
          <w:iCs/>
          <w:lang w:val="en-GB"/>
        </w:rPr>
        <w:t xml:space="preserve">aw </w:t>
      </w:r>
      <w:r w:rsidRPr="00F34906">
        <w:rPr>
          <w:i/>
          <w:iCs/>
          <w:lang w:val="en-GB"/>
        </w:rPr>
        <w:t>J</w:t>
      </w:r>
      <w:r>
        <w:rPr>
          <w:i/>
          <w:iCs/>
          <w:lang w:val="en-GB"/>
        </w:rPr>
        <w:t>ournal</w:t>
      </w:r>
      <w:r>
        <w:rPr>
          <w:iCs/>
          <w:lang w:val="en-GB"/>
        </w:rPr>
        <w:t xml:space="preserve"> 545,</w:t>
      </w:r>
      <w:r w:rsidRPr="00F34906">
        <w:rPr>
          <w:lang w:val="en-GB"/>
        </w:rPr>
        <w:t xml:space="preserve"> 557</w:t>
      </w:r>
      <w:r>
        <w:rPr>
          <w:lang w:val="en-GB"/>
        </w:rPr>
        <w:t xml:space="preserve">; L </w:t>
      </w:r>
      <w:r w:rsidRPr="00F34906">
        <w:rPr>
          <w:lang w:val="en-GB"/>
        </w:rPr>
        <w:t>Hawthorne</w:t>
      </w:r>
      <w:r>
        <w:rPr>
          <w:lang w:val="en-GB"/>
        </w:rPr>
        <w:t xml:space="preserve"> ‘Rethinking the philosophical substructure of modern South African contract law: Self-actualisation and human dignity’</w:t>
      </w:r>
      <w:r w:rsidRPr="00F34906">
        <w:rPr>
          <w:lang w:val="en-GB"/>
        </w:rPr>
        <w:t xml:space="preserve"> </w:t>
      </w:r>
      <w:r>
        <w:rPr>
          <w:lang w:val="en-GB"/>
        </w:rPr>
        <w:t>(</w:t>
      </w:r>
      <w:r w:rsidRPr="00F34906">
        <w:rPr>
          <w:lang w:val="en-GB"/>
        </w:rPr>
        <w:t>2016</w:t>
      </w:r>
      <w:r>
        <w:rPr>
          <w:lang w:val="en-GB"/>
        </w:rPr>
        <w:t>) 79</w:t>
      </w:r>
      <w:r w:rsidRPr="00F34906">
        <w:rPr>
          <w:lang w:val="en-GB"/>
        </w:rPr>
        <w:t xml:space="preserve"> </w:t>
      </w:r>
      <w:r>
        <w:rPr>
          <w:i/>
          <w:lang w:val="en-GB"/>
        </w:rPr>
        <w:t>Tydskrif vir die Hedendaagse Romeins-Hollandse Reg</w:t>
      </w:r>
      <w:r>
        <w:rPr>
          <w:lang w:val="en-GB"/>
        </w:rPr>
        <w:t xml:space="preserve"> 286,</w:t>
      </w:r>
      <w:r w:rsidRPr="00F34906">
        <w:rPr>
          <w:lang w:val="en-GB"/>
        </w:rPr>
        <w:t xml:space="preserve"> 296-297</w:t>
      </w:r>
      <w:r>
        <w:rPr>
          <w:lang w:val="en-GB"/>
        </w:rPr>
        <w:t xml:space="preserve">; R </w:t>
      </w:r>
      <w:r w:rsidRPr="003D19A2">
        <w:rPr>
          <w:lang w:val="en-GB"/>
        </w:rPr>
        <w:t>Sharrock</w:t>
      </w:r>
      <w:r>
        <w:rPr>
          <w:lang w:val="en-GB"/>
        </w:rPr>
        <w:t xml:space="preserve"> ‘Unfair enforcement of a contract: a step in the right direction? </w:t>
      </w:r>
      <w:r>
        <w:rPr>
          <w:i/>
          <w:lang w:val="en-GB"/>
        </w:rPr>
        <w:t xml:space="preserve">Botha v Rich </w:t>
      </w:r>
      <w:r>
        <w:rPr>
          <w:lang w:val="en-GB"/>
        </w:rPr>
        <w:t xml:space="preserve">and </w:t>
      </w:r>
      <w:r>
        <w:rPr>
          <w:i/>
          <w:lang w:val="en-GB"/>
        </w:rPr>
        <w:t>Combined Developers v Arun Holdings</w:t>
      </w:r>
      <w:r>
        <w:rPr>
          <w:lang w:val="en-GB"/>
        </w:rPr>
        <w:t>’</w:t>
      </w:r>
      <w:r w:rsidRPr="003D19A2">
        <w:rPr>
          <w:lang w:val="en-GB"/>
        </w:rPr>
        <w:t xml:space="preserve"> </w:t>
      </w:r>
      <w:r>
        <w:rPr>
          <w:lang w:val="en-GB"/>
        </w:rPr>
        <w:t>(</w:t>
      </w:r>
      <w:r w:rsidRPr="003D19A2">
        <w:rPr>
          <w:lang w:val="en-GB"/>
        </w:rPr>
        <w:t>2015</w:t>
      </w:r>
      <w:r>
        <w:rPr>
          <w:lang w:val="en-GB"/>
        </w:rPr>
        <w:t>) 27</w:t>
      </w:r>
      <w:r w:rsidRPr="003D19A2">
        <w:rPr>
          <w:lang w:val="en-GB"/>
        </w:rPr>
        <w:t xml:space="preserve"> </w:t>
      </w:r>
      <w:r w:rsidRPr="003D19A2">
        <w:rPr>
          <w:i/>
          <w:iCs/>
          <w:lang w:val="en-GB"/>
        </w:rPr>
        <w:t>S</w:t>
      </w:r>
      <w:r>
        <w:rPr>
          <w:i/>
          <w:iCs/>
          <w:lang w:val="en-GB"/>
        </w:rPr>
        <w:t xml:space="preserve">outh </w:t>
      </w:r>
      <w:r w:rsidRPr="003D19A2">
        <w:rPr>
          <w:i/>
          <w:iCs/>
          <w:lang w:val="en-GB"/>
        </w:rPr>
        <w:t>A</w:t>
      </w:r>
      <w:r>
        <w:rPr>
          <w:i/>
          <w:iCs/>
          <w:lang w:val="en-GB"/>
        </w:rPr>
        <w:t>frican</w:t>
      </w:r>
      <w:r w:rsidRPr="003D19A2">
        <w:rPr>
          <w:i/>
          <w:iCs/>
          <w:lang w:val="en-GB"/>
        </w:rPr>
        <w:t xml:space="preserve"> Merc</w:t>
      </w:r>
      <w:r>
        <w:rPr>
          <w:i/>
          <w:iCs/>
          <w:lang w:val="en-GB"/>
        </w:rPr>
        <w:t>antile</w:t>
      </w:r>
      <w:r w:rsidRPr="003D19A2">
        <w:rPr>
          <w:i/>
          <w:iCs/>
          <w:lang w:val="en-GB"/>
        </w:rPr>
        <w:t xml:space="preserve"> L</w:t>
      </w:r>
      <w:r>
        <w:rPr>
          <w:i/>
          <w:iCs/>
          <w:lang w:val="en-GB"/>
        </w:rPr>
        <w:t xml:space="preserve">aw </w:t>
      </w:r>
      <w:r w:rsidRPr="003D19A2">
        <w:rPr>
          <w:i/>
          <w:iCs/>
          <w:lang w:val="en-GB"/>
        </w:rPr>
        <w:t>J</w:t>
      </w:r>
      <w:r>
        <w:rPr>
          <w:i/>
          <w:iCs/>
          <w:lang w:val="en-GB"/>
        </w:rPr>
        <w:t>ournal</w:t>
      </w:r>
      <w:r>
        <w:rPr>
          <w:iCs/>
          <w:lang w:val="en-GB"/>
        </w:rPr>
        <w:t xml:space="preserve"> 174,</w:t>
      </w:r>
      <w:r>
        <w:rPr>
          <w:lang w:val="en-GB"/>
        </w:rPr>
        <w:t xml:space="preserve"> 180; D </w:t>
      </w:r>
      <w:r w:rsidRPr="003D19A2">
        <w:rPr>
          <w:lang w:val="en-GB"/>
        </w:rPr>
        <w:t xml:space="preserve">Bhana &amp; </w:t>
      </w:r>
      <w:r>
        <w:rPr>
          <w:lang w:val="en-GB"/>
        </w:rPr>
        <w:t>A </w:t>
      </w:r>
      <w:r w:rsidRPr="003D19A2">
        <w:rPr>
          <w:lang w:val="en-GB"/>
        </w:rPr>
        <w:t>Meerkotter</w:t>
      </w:r>
      <w:r>
        <w:rPr>
          <w:lang w:val="en-GB"/>
        </w:rPr>
        <w:t xml:space="preserve"> ‘The impact of the Constitution on the common law of contract: </w:t>
      </w:r>
      <w:r>
        <w:rPr>
          <w:i/>
          <w:lang w:val="en-GB"/>
        </w:rPr>
        <w:t xml:space="preserve">Botha v Rich NO </w:t>
      </w:r>
      <w:r>
        <w:rPr>
          <w:lang w:val="en-GB"/>
        </w:rPr>
        <w:t>(CC)’</w:t>
      </w:r>
      <w:r w:rsidRPr="003D19A2">
        <w:rPr>
          <w:lang w:val="en-GB"/>
        </w:rPr>
        <w:t xml:space="preserve"> </w:t>
      </w:r>
      <w:r>
        <w:rPr>
          <w:lang w:val="en-GB"/>
        </w:rPr>
        <w:t>(</w:t>
      </w:r>
      <w:r w:rsidRPr="003D19A2">
        <w:rPr>
          <w:lang w:val="en-GB"/>
        </w:rPr>
        <w:t>2015</w:t>
      </w:r>
      <w:r>
        <w:rPr>
          <w:lang w:val="en-GB"/>
        </w:rPr>
        <w:t>) 132</w:t>
      </w:r>
      <w:r w:rsidRPr="003D19A2">
        <w:rPr>
          <w:lang w:val="en-GB"/>
        </w:rPr>
        <w:t xml:space="preserve"> </w:t>
      </w:r>
      <w:r w:rsidRPr="003D19A2">
        <w:rPr>
          <w:i/>
          <w:iCs/>
          <w:lang w:val="en-GB"/>
        </w:rPr>
        <w:t>S</w:t>
      </w:r>
      <w:r>
        <w:rPr>
          <w:i/>
          <w:iCs/>
          <w:lang w:val="en-GB"/>
        </w:rPr>
        <w:t xml:space="preserve">outh </w:t>
      </w:r>
      <w:r w:rsidRPr="003D19A2">
        <w:rPr>
          <w:i/>
          <w:iCs/>
          <w:lang w:val="en-GB"/>
        </w:rPr>
        <w:t>A</w:t>
      </w:r>
      <w:r>
        <w:rPr>
          <w:i/>
          <w:iCs/>
          <w:lang w:val="en-GB"/>
        </w:rPr>
        <w:t xml:space="preserve">frican </w:t>
      </w:r>
      <w:r w:rsidRPr="003D19A2">
        <w:rPr>
          <w:i/>
          <w:iCs/>
          <w:lang w:val="en-GB"/>
        </w:rPr>
        <w:t>L</w:t>
      </w:r>
      <w:r>
        <w:rPr>
          <w:i/>
          <w:iCs/>
          <w:lang w:val="en-GB"/>
        </w:rPr>
        <w:t xml:space="preserve">aw </w:t>
      </w:r>
      <w:r w:rsidRPr="003D19A2">
        <w:rPr>
          <w:i/>
          <w:iCs/>
          <w:lang w:val="en-GB"/>
        </w:rPr>
        <w:t>J</w:t>
      </w:r>
      <w:r>
        <w:rPr>
          <w:i/>
          <w:iCs/>
          <w:lang w:val="en-GB"/>
        </w:rPr>
        <w:t>ournal</w:t>
      </w:r>
      <w:r>
        <w:rPr>
          <w:iCs/>
          <w:lang w:val="en-GB"/>
        </w:rPr>
        <w:t xml:space="preserve"> 494,</w:t>
      </w:r>
      <w:r w:rsidRPr="003D19A2">
        <w:rPr>
          <w:i/>
          <w:iCs/>
          <w:lang w:val="en-GB"/>
        </w:rPr>
        <w:t xml:space="preserve"> </w:t>
      </w:r>
      <w:r>
        <w:rPr>
          <w:lang w:val="en-GB"/>
        </w:rPr>
        <w:t>506.</w:t>
      </w:r>
    </w:p>
  </w:footnote>
  <w:footnote w:id="7">
    <w:p w:rsidR="00B613DB" w:rsidRDefault="00B613DB" w:rsidP="002F6072">
      <w:pPr>
        <w:pStyle w:val="FootnoteText"/>
      </w:pPr>
      <w:r>
        <w:rPr>
          <w:rStyle w:val="FootnoteReference"/>
        </w:rPr>
        <w:footnoteRef/>
      </w:r>
      <w:r>
        <w:t xml:space="preserve"> </w:t>
      </w:r>
      <w:r>
        <w:tab/>
        <w:t>This section comprises a brief summary of the relevant issues for the purposes of this article. A detailed critical analysis of the dualistic approach to human dignity in the law of contract including its philosophical origins can be found in Du Plessis (note </w:t>
      </w:r>
      <w:r>
        <w:fldChar w:fldCharType="begin"/>
      </w:r>
      <w:r>
        <w:instrText xml:space="preserve"> NOTEREF _Ref510089702 \h  \* MERGEFORMAT </w:instrText>
      </w:r>
      <w:r>
        <w:fldChar w:fldCharType="separate"/>
      </w:r>
      <w:r w:rsidR="00F97B66">
        <w:t>1</w:t>
      </w:r>
      <w:r>
        <w:fldChar w:fldCharType="end"/>
      </w:r>
      <w:r>
        <w:t>) 215-255.</w:t>
      </w:r>
    </w:p>
  </w:footnote>
  <w:footnote w:id="8">
    <w:p w:rsidR="00B613DB" w:rsidRPr="003D19A2" w:rsidRDefault="00B613DB" w:rsidP="002F6072">
      <w:pPr>
        <w:pStyle w:val="FootnoteText"/>
      </w:pPr>
      <w:r w:rsidRPr="003D19A2">
        <w:rPr>
          <w:rStyle w:val="FootnoteReference"/>
          <w:lang w:val="en-GB"/>
        </w:rPr>
        <w:footnoteRef/>
      </w:r>
      <w:r w:rsidRPr="003D19A2">
        <w:t xml:space="preserve"> </w:t>
      </w:r>
      <w:r>
        <w:tab/>
        <w:t xml:space="preserve">D </w:t>
      </w:r>
      <w:r w:rsidRPr="003D19A2">
        <w:t xml:space="preserve">Beyleveld &amp; </w:t>
      </w:r>
      <w:r>
        <w:t xml:space="preserve">R </w:t>
      </w:r>
      <w:r w:rsidRPr="003D19A2">
        <w:t xml:space="preserve">Brownsword </w:t>
      </w:r>
      <w:r w:rsidRPr="003D19A2">
        <w:rPr>
          <w:i/>
          <w:iCs/>
        </w:rPr>
        <w:t>Human dignity in bioethics and biolaw</w:t>
      </w:r>
      <w:r w:rsidRPr="003D19A2">
        <w:t xml:space="preserve"> (2004) 11</w:t>
      </w:r>
      <w:r>
        <w:t>ff</w:t>
      </w:r>
      <w:r w:rsidRPr="003D19A2">
        <w:t xml:space="preserve">. </w:t>
      </w:r>
    </w:p>
  </w:footnote>
  <w:footnote w:id="9">
    <w:p w:rsidR="00B613DB" w:rsidRPr="003D19A2" w:rsidRDefault="00B613DB" w:rsidP="002F6072">
      <w:pPr>
        <w:pStyle w:val="FootnoteText"/>
      </w:pPr>
      <w:r w:rsidRPr="003D19A2">
        <w:rPr>
          <w:rStyle w:val="FootnoteReference"/>
          <w:lang w:val="en-GB"/>
        </w:rPr>
        <w:footnoteRef/>
      </w:r>
      <w:r w:rsidRPr="003D19A2">
        <w:t xml:space="preserve"> </w:t>
      </w:r>
      <w:r w:rsidRPr="003D19A2">
        <w:tab/>
      </w:r>
      <w:r w:rsidRPr="0055146D">
        <w:t>Ibid</w:t>
      </w:r>
      <w:r w:rsidRPr="003D19A2">
        <w:t>.</w:t>
      </w:r>
    </w:p>
  </w:footnote>
  <w:footnote w:id="10">
    <w:p w:rsidR="00B613DB" w:rsidRPr="003D19A2" w:rsidRDefault="00B613DB" w:rsidP="002F6072">
      <w:pPr>
        <w:pStyle w:val="FootnoteText"/>
      </w:pPr>
      <w:r w:rsidRPr="003D19A2">
        <w:rPr>
          <w:rStyle w:val="FootnoteReference"/>
          <w:lang w:val="en-GB"/>
        </w:rPr>
        <w:footnoteRef/>
      </w:r>
      <w:r w:rsidRPr="003D19A2">
        <w:t xml:space="preserve"> </w:t>
      </w:r>
      <w:r w:rsidRPr="003D19A2">
        <w:tab/>
      </w:r>
      <w:r>
        <w:t xml:space="preserve">L </w:t>
      </w:r>
      <w:r w:rsidRPr="003D19A2">
        <w:t>Hawthorne</w:t>
      </w:r>
      <w:r>
        <w:t xml:space="preserve"> ‘Constitution and contract: Human dignity, the theory of capabilities and </w:t>
      </w:r>
      <w:r>
        <w:rPr>
          <w:i/>
        </w:rPr>
        <w:t xml:space="preserve">Existenzgundlage </w:t>
      </w:r>
      <w:r>
        <w:t>in South Africa’</w:t>
      </w:r>
      <w:r w:rsidRPr="003D19A2">
        <w:t xml:space="preserve"> </w:t>
      </w:r>
      <w:r>
        <w:t>(</w:t>
      </w:r>
      <w:r w:rsidRPr="003D19A2">
        <w:t>2011</w:t>
      </w:r>
      <w:r>
        <w:t>) 2</w:t>
      </w:r>
      <w:r w:rsidRPr="003D19A2">
        <w:t xml:space="preserve"> </w:t>
      </w:r>
      <w:r w:rsidRPr="003D19A2">
        <w:rPr>
          <w:i/>
          <w:iCs/>
        </w:rPr>
        <w:t>S</w:t>
      </w:r>
      <w:r>
        <w:rPr>
          <w:i/>
          <w:iCs/>
        </w:rPr>
        <w:t xml:space="preserve">tudia </w:t>
      </w:r>
      <w:r w:rsidRPr="003D19A2">
        <w:rPr>
          <w:i/>
          <w:iCs/>
        </w:rPr>
        <w:t>U</w:t>
      </w:r>
      <w:r>
        <w:rPr>
          <w:i/>
          <w:iCs/>
        </w:rPr>
        <w:t xml:space="preserve">niversitatis </w:t>
      </w:r>
      <w:r w:rsidRPr="003D19A2">
        <w:rPr>
          <w:i/>
          <w:iCs/>
        </w:rPr>
        <w:t>B</w:t>
      </w:r>
      <w:r>
        <w:rPr>
          <w:i/>
          <w:iCs/>
        </w:rPr>
        <w:t xml:space="preserve">abes </w:t>
      </w:r>
      <w:r w:rsidRPr="003D19A2">
        <w:rPr>
          <w:i/>
          <w:iCs/>
        </w:rPr>
        <w:t>B</w:t>
      </w:r>
      <w:r>
        <w:rPr>
          <w:i/>
          <w:iCs/>
        </w:rPr>
        <w:t>olyai</w:t>
      </w:r>
      <w:r w:rsidRPr="003D19A2">
        <w:rPr>
          <w:i/>
          <w:iCs/>
        </w:rPr>
        <w:t xml:space="preserve"> Iurisprudentia</w:t>
      </w:r>
      <w:r>
        <w:rPr>
          <w:iCs/>
        </w:rPr>
        <w:t xml:space="preserve"> </w:t>
      </w:r>
      <w:r w:rsidRPr="003D19A2">
        <w:t xml:space="preserve">para 4 2; </w:t>
      </w:r>
      <w:r>
        <w:t xml:space="preserve">D </w:t>
      </w:r>
      <w:r w:rsidRPr="003D19A2">
        <w:rPr>
          <w:bCs/>
        </w:rPr>
        <w:t xml:space="preserve">Bhana &amp; </w:t>
      </w:r>
      <w:r>
        <w:rPr>
          <w:bCs/>
        </w:rPr>
        <w:t xml:space="preserve">M </w:t>
      </w:r>
      <w:r w:rsidRPr="003D19A2">
        <w:rPr>
          <w:bCs/>
        </w:rPr>
        <w:t>Pieterse</w:t>
      </w:r>
      <w:r>
        <w:rPr>
          <w:bCs/>
        </w:rPr>
        <w:t xml:space="preserve"> ‘Towards a reconciliation of contract law and constitutional values: </w:t>
      </w:r>
      <w:r>
        <w:rPr>
          <w:bCs/>
          <w:i/>
        </w:rPr>
        <w:t>Brisley</w:t>
      </w:r>
      <w:r>
        <w:rPr>
          <w:bCs/>
        </w:rPr>
        <w:t xml:space="preserve"> and </w:t>
      </w:r>
      <w:r>
        <w:rPr>
          <w:bCs/>
          <w:i/>
        </w:rPr>
        <w:t>Afrox</w:t>
      </w:r>
      <w:r>
        <w:rPr>
          <w:bCs/>
        </w:rPr>
        <w:t xml:space="preserve"> revisited’</w:t>
      </w:r>
      <w:r w:rsidRPr="003D19A2">
        <w:rPr>
          <w:bCs/>
        </w:rPr>
        <w:t xml:space="preserve"> </w:t>
      </w:r>
      <w:r>
        <w:rPr>
          <w:bCs/>
        </w:rPr>
        <w:t>(</w:t>
      </w:r>
      <w:r w:rsidRPr="003D19A2">
        <w:rPr>
          <w:bCs/>
        </w:rPr>
        <w:t>2005</w:t>
      </w:r>
      <w:r>
        <w:rPr>
          <w:bCs/>
        </w:rPr>
        <w:t>) 122</w:t>
      </w:r>
      <w:r w:rsidRPr="003D19A2">
        <w:rPr>
          <w:bCs/>
        </w:rPr>
        <w:t xml:space="preserve"> </w:t>
      </w:r>
      <w:r w:rsidRPr="003D19A2">
        <w:rPr>
          <w:bCs/>
          <w:i/>
          <w:iCs/>
        </w:rPr>
        <w:t>S</w:t>
      </w:r>
      <w:r>
        <w:rPr>
          <w:bCs/>
          <w:i/>
          <w:iCs/>
        </w:rPr>
        <w:t xml:space="preserve">outh </w:t>
      </w:r>
      <w:r w:rsidRPr="003D19A2">
        <w:rPr>
          <w:bCs/>
          <w:i/>
          <w:iCs/>
        </w:rPr>
        <w:t>A</w:t>
      </w:r>
      <w:r>
        <w:rPr>
          <w:bCs/>
          <w:i/>
          <w:iCs/>
        </w:rPr>
        <w:t xml:space="preserve">frican </w:t>
      </w:r>
      <w:r w:rsidRPr="003D19A2">
        <w:rPr>
          <w:bCs/>
          <w:i/>
          <w:iCs/>
        </w:rPr>
        <w:t>L</w:t>
      </w:r>
      <w:r>
        <w:rPr>
          <w:bCs/>
          <w:i/>
          <w:iCs/>
        </w:rPr>
        <w:t xml:space="preserve">aw </w:t>
      </w:r>
      <w:r w:rsidRPr="003D19A2">
        <w:rPr>
          <w:bCs/>
          <w:i/>
          <w:iCs/>
        </w:rPr>
        <w:t>J</w:t>
      </w:r>
      <w:r>
        <w:rPr>
          <w:bCs/>
          <w:i/>
          <w:iCs/>
        </w:rPr>
        <w:t>ournal</w:t>
      </w:r>
      <w:r>
        <w:rPr>
          <w:bCs/>
          <w:iCs/>
        </w:rPr>
        <w:t xml:space="preserve"> 865,</w:t>
      </w:r>
      <w:r w:rsidRPr="003D19A2">
        <w:rPr>
          <w:bCs/>
        </w:rPr>
        <w:t xml:space="preserve"> 880-881; </w:t>
      </w:r>
      <w:r>
        <w:rPr>
          <w:bCs/>
        </w:rPr>
        <w:t>G </w:t>
      </w:r>
      <w:r w:rsidRPr="003D19A2">
        <w:rPr>
          <w:bCs/>
        </w:rPr>
        <w:t>Lubbe</w:t>
      </w:r>
      <w:r>
        <w:rPr>
          <w:bCs/>
        </w:rPr>
        <w:t xml:space="preserve"> ‘Taking fundamental rights seriously: The Bill of Rights and its implications for the development of contract law’</w:t>
      </w:r>
      <w:r w:rsidRPr="003D19A2">
        <w:rPr>
          <w:bCs/>
        </w:rPr>
        <w:t xml:space="preserve"> </w:t>
      </w:r>
      <w:r>
        <w:rPr>
          <w:bCs/>
        </w:rPr>
        <w:t>(</w:t>
      </w:r>
      <w:r w:rsidRPr="003D19A2">
        <w:rPr>
          <w:bCs/>
        </w:rPr>
        <w:t>2004</w:t>
      </w:r>
      <w:r>
        <w:rPr>
          <w:bCs/>
        </w:rPr>
        <w:t>) 121</w:t>
      </w:r>
      <w:r w:rsidRPr="003D19A2">
        <w:rPr>
          <w:bCs/>
        </w:rPr>
        <w:t xml:space="preserve"> </w:t>
      </w:r>
      <w:r w:rsidRPr="003D19A2">
        <w:rPr>
          <w:bCs/>
          <w:i/>
          <w:iCs/>
        </w:rPr>
        <w:t>S</w:t>
      </w:r>
      <w:r>
        <w:rPr>
          <w:bCs/>
          <w:i/>
          <w:iCs/>
        </w:rPr>
        <w:t xml:space="preserve">outh </w:t>
      </w:r>
      <w:r w:rsidRPr="003D19A2">
        <w:rPr>
          <w:bCs/>
          <w:i/>
          <w:iCs/>
        </w:rPr>
        <w:t>A</w:t>
      </w:r>
      <w:r>
        <w:rPr>
          <w:bCs/>
          <w:i/>
          <w:iCs/>
        </w:rPr>
        <w:t xml:space="preserve">frican </w:t>
      </w:r>
      <w:r w:rsidRPr="003D19A2">
        <w:rPr>
          <w:bCs/>
          <w:i/>
          <w:iCs/>
        </w:rPr>
        <w:t>L</w:t>
      </w:r>
      <w:r>
        <w:rPr>
          <w:bCs/>
          <w:i/>
          <w:iCs/>
        </w:rPr>
        <w:t xml:space="preserve">aw </w:t>
      </w:r>
      <w:r w:rsidRPr="003D19A2">
        <w:rPr>
          <w:bCs/>
          <w:i/>
          <w:iCs/>
        </w:rPr>
        <w:t>J</w:t>
      </w:r>
      <w:r>
        <w:rPr>
          <w:bCs/>
          <w:i/>
          <w:iCs/>
        </w:rPr>
        <w:t>ournal</w:t>
      </w:r>
      <w:r>
        <w:rPr>
          <w:bCs/>
          <w:iCs/>
        </w:rPr>
        <w:t xml:space="preserve"> 395,</w:t>
      </w:r>
      <w:r w:rsidRPr="003D19A2">
        <w:rPr>
          <w:bCs/>
        </w:rPr>
        <w:t xml:space="preserve"> 421; </w:t>
      </w:r>
      <w:r>
        <w:rPr>
          <w:bCs/>
        </w:rPr>
        <w:t xml:space="preserve">D </w:t>
      </w:r>
      <w:r w:rsidRPr="003D19A2">
        <w:t xml:space="preserve">Feldman </w:t>
      </w:r>
      <w:r>
        <w:t>‘Human dignity as a legal value – part 1’ (</w:t>
      </w:r>
      <w:r w:rsidRPr="003D19A2">
        <w:t>1999</w:t>
      </w:r>
      <w:r>
        <w:t>)</w:t>
      </w:r>
      <w:r w:rsidRPr="003D19A2">
        <w:t xml:space="preserve"> </w:t>
      </w:r>
      <w:r w:rsidRPr="003D19A2">
        <w:rPr>
          <w:i/>
          <w:iCs/>
        </w:rPr>
        <w:t>Public Law</w:t>
      </w:r>
      <w:r w:rsidRPr="003D19A2">
        <w:t xml:space="preserve"> </w:t>
      </w:r>
      <w:r>
        <w:t xml:space="preserve">682, </w:t>
      </w:r>
      <w:r w:rsidRPr="003D19A2">
        <w:t>685</w:t>
      </w:r>
      <w:r w:rsidRPr="003D19A2">
        <w:rPr>
          <w:bCs/>
        </w:rPr>
        <w:t>.</w:t>
      </w:r>
      <w:r w:rsidRPr="003D19A2">
        <w:t xml:space="preserve"> </w:t>
      </w:r>
    </w:p>
  </w:footnote>
  <w:footnote w:id="11">
    <w:p w:rsidR="00B613DB" w:rsidRPr="003D19A2" w:rsidRDefault="00B613DB" w:rsidP="002F6072">
      <w:pPr>
        <w:pStyle w:val="FootnoteText"/>
      </w:pPr>
      <w:r w:rsidRPr="003D19A2">
        <w:rPr>
          <w:rStyle w:val="FootnoteReference"/>
          <w:lang w:val="en-GB"/>
        </w:rPr>
        <w:footnoteRef/>
      </w:r>
      <w:r w:rsidRPr="003D19A2">
        <w:t xml:space="preserve"> </w:t>
      </w:r>
      <w:r w:rsidRPr="003D19A2">
        <w:tab/>
      </w:r>
      <w:r>
        <w:t xml:space="preserve">R </w:t>
      </w:r>
      <w:r w:rsidRPr="003D19A2">
        <w:rPr>
          <w:bCs/>
        </w:rPr>
        <w:t xml:space="preserve">Brownsword </w:t>
      </w:r>
      <w:r>
        <w:rPr>
          <w:bCs/>
        </w:rPr>
        <w:t>‘</w:t>
      </w:r>
      <w:r w:rsidRPr="003D19A2">
        <w:rPr>
          <w:bCs/>
        </w:rPr>
        <w:t>Freedom of contract, human rights and human dignity</w:t>
      </w:r>
      <w:r>
        <w:rPr>
          <w:bCs/>
        </w:rPr>
        <w:t>’</w:t>
      </w:r>
      <w:r w:rsidRPr="003D19A2">
        <w:rPr>
          <w:bCs/>
        </w:rPr>
        <w:t xml:space="preserve"> in </w:t>
      </w:r>
      <w:r>
        <w:rPr>
          <w:bCs/>
        </w:rPr>
        <w:t xml:space="preserve">D </w:t>
      </w:r>
      <w:r w:rsidRPr="003D19A2">
        <w:t xml:space="preserve">Friedmann &amp; </w:t>
      </w:r>
      <w:r>
        <w:t xml:space="preserve">D </w:t>
      </w:r>
      <w:r w:rsidRPr="003D19A2">
        <w:t xml:space="preserve">Barak-Erez (eds) </w:t>
      </w:r>
      <w:r w:rsidRPr="003D19A2">
        <w:rPr>
          <w:i/>
          <w:iCs/>
        </w:rPr>
        <w:t>Human rights in private law</w:t>
      </w:r>
      <w:r w:rsidRPr="003D19A2">
        <w:t xml:space="preserve"> (2001) 183. </w:t>
      </w:r>
    </w:p>
  </w:footnote>
  <w:footnote w:id="12">
    <w:p w:rsidR="00B613DB" w:rsidRPr="00762711" w:rsidRDefault="00B613DB" w:rsidP="002F6072">
      <w:pPr>
        <w:pStyle w:val="FootnoteText"/>
      </w:pPr>
      <w:r>
        <w:rPr>
          <w:rStyle w:val="FootnoteReference"/>
        </w:rPr>
        <w:footnoteRef/>
      </w:r>
      <w:r>
        <w:t xml:space="preserve"> </w:t>
      </w:r>
      <w:r>
        <w:tab/>
      </w:r>
      <w:r>
        <w:rPr>
          <w:bCs/>
        </w:rPr>
        <w:t>Ibid at</w:t>
      </w:r>
      <w:r>
        <w:t> 191.</w:t>
      </w:r>
    </w:p>
  </w:footnote>
  <w:footnote w:id="13">
    <w:p w:rsidR="00B613DB" w:rsidRDefault="00B613DB" w:rsidP="002F6072">
      <w:pPr>
        <w:pStyle w:val="FootnoteText"/>
      </w:pPr>
      <w:r>
        <w:rPr>
          <w:rStyle w:val="FootnoteReference"/>
        </w:rPr>
        <w:footnoteRef/>
      </w:r>
      <w:r>
        <w:t xml:space="preserve"> </w:t>
      </w:r>
      <w:r>
        <w:tab/>
        <w:t xml:space="preserve">I Kant </w:t>
      </w:r>
      <w:r w:rsidRPr="00435AC3">
        <w:rPr>
          <w:bCs/>
          <w:i/>
          <w:lang w:val="en-GB"/>
        </w:rPr>
        <w:t>Grundlegung zur Metaphysik der Sitten</w:t>
      </w:r>
      <w:r w:rsidRPr="00435AC3">
        <w:rPr>
          <w:lang w:val="en-GB"/>
        </w:rPr>
        <w:t xml:space="preserve"> </w:t>
      </w:r>
      <w:r>
        <w:t xml:space="preserve">(1785) (trans HJ </w:t>
      </w:r>
      <w:r w:rsidRPr="003D19A2">
        <w:t>Paton</w:t>
      </w:r>
      <w:r>
        <w:t>,</w:t>
      </w:r>
      <w:r w:rsidRPr="003D19A2">
        <w:t xml:space="preserve"> 1978) 96</w:t>
      </w:r>
      <w:r>
        <w:t>.</w:t>
      </w:r>
    </w:p>
  </w:footnote>
  <w:footnote w:id="14">
    <w:p w:rsidR="00B613DB" w:rsidRPr="003D19A2" w:rsidRDefault="00B613DB" w:rsidP="002F6072">
      <w:pPr>
        <w:pStyle w:val="FootnoteText"/>
      </w:pPr>
      <w:r w:rsidRPr="003D19A2">
        <w:rPr>
          <w:rStyle w:val="FootnoteReference"/>
          <w:lang w:val="en-GB"/>
        </w:rPr>
        <w:footnoteRef/>
      </w:r>
      <w:r w:rsidRPr="003D19A2">
        <w:t xml:space="preserve"> </w:t>
      </w:r>
      <w:r w:rsidRPr="003D19A2">
        <w:tab/>
      </w:r>
      <w:r>
        <w:t>Ibid at</w:t>
      </w:r>
      <w:r w:rsidRPr="003D19A2">
        <w:t xml:space="preserve"> 101</w:t>
      </w:r>
      <w:r>
        <w:t xml:space="preserve">. </w:t>
      </w:r>
    </w:p>
  </w:footnote>
  <w:footnote w:id="15">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t xml:space="preserve">Beyleveld &amp; Brownsword </w:t>
      </w:r>
      <w:r>
        <w:rPr>
          <w:iCs/>
          <w:lang w:val="en-GB"/>
        </w:rPr>
        <w:t>(note </w:t>
      </w:r>
      <w:r>
        <w:rPr>
          <w:iCs/>
          <w:lang w:val="en-GB"/>
        </w:rPr>
        <w:fldChar w:fldCharType="begin"/>
      </w:r>
      <w:r>
        <w:rPr>
          <w:iCs/>
          <w:lang w:val="en-GB"/>
        </w:rPr>
        <w:instrText xml:space="preserve"> NOTEREF _Ref520139007 \h  \* MERGEFORMAT </w:instrText>
      </w:r>
      <w:r>
        <w:rPr>
          <w:iCs/>
          <w:lang w:val="en-GB"/>
        </w:rPr>
      </w:r>
      <w:r>
        <w:rPr>
          <w:iCs/>
          <w:lang w:val="en-GB"/>
        </w:rPr>
        <w:fldChar w:fldCharType="separate"/>
      </w:r>
      <w:r w:rsidR="00F97B66">
        <w:rPr>
          <w:iCs/>
          <w:lang w:val="en-GB"/>
        </w:rPr>
        <w:t>8</w:t>
      </w:r>
      <w:r>
        <w:rPr>
          <w:iCs/>
          <w:lang w:val="en-GB"/>
        </w:rPr>
        <w:fldChar w:fldCharType="end"/>
      </w:r>
      <w:r>
        <w:rPr>
          <w:iCs/>
          <w:lang w:val="en-GB"/>
        </w:rPr>
        <w:t xml:space="preserve"> above) at</w:t>
      </w:r>
      <w:r w:rsidRPr="003D19A2">
        <w:rPr>
          <w:lang w:val="en-GB"/>
        </w:rPr>
        <w:t xml:space="preserve"> 5</w:t>
      </w:r>
      <w:r>
        <w:rPr>
          <w:lang w:val="en-GB"/>
        </w:rPr>
        <w:t xml:space="preserve">2-54 &amp; D </w:t>
      </w:r>
      <w:r w:rsidRPr="003D19A2">
        <w:rPr>
          <w:bCs/>
        </w:rPr>
        <w:t xml:space="preserve">Beyleveld &amp; </w:t>
      </w:r>
      <w:r>
        <w:rPr>
          <w:bCs/>
        </w:rPr>
        <w:t xml:space="preserve">R </w:t>
      </w:r>
      <w:r w:rsidRPr="003D19A2">
        <w:rPr>
          <w:bCs/>
        </w:rPr>
        <w:t>Brownsword</w:t>
      </w:r>
      <w:r>
        <w:rPr>
          <w:bCs/>
        </w:rPr>
        <w:t xml:space="preserve"> ‘Human dignity, human rights, and human genetics’</w:t>
      </w:r>
      <w:r w:rsidRPr="003D19A2">
        <w:rPr>
          <w:bCs/>
        </w:rPr>
        <w:t xml:space="preserve"> </w:t>
      </w:r>
      <w:r>
        <w:rPr>
          <w:bCs/>
        </w:rPr>
        <w:t>(</w:t>
      </w:r>
      <w:r w:rsidRPr="003D19A2">
        <w:rPr>
          <w:bCs/>
        </w:rPr>
        <w:t>1998</w:t>
      </w:r>
      <w:r>
        <w:rPr>
          <w:bCs/>
        </w:rPr>
        <w:t>) 61</w:t>
      </w:r>
      <w:r w:rsidRPr="003D19A2">
        <w:rPr>
          <w:bCs/>
        </w:rPr>
        <w:t xml:space="preserve"> </w:t>
      </w:r>
      <w:r w:rsidRPr="003D19A2">
        <w:rPr>
          <w:bCs/>
          <w:i/>
          <w:iCs/>
        </w:rPr>
        <w:t>Modern Law Review</w:t>
      </w:r>
      <w:r>
        <w:rPr>
          <w:bCs/>
        </w:rPr>
        <w:t xml:space="preserve"> 661, 666.</w:t>
      </w:r>
    </w:p>
  </w:footnote>
  <w:footnote w:id="16">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t xml:space="preserve">Beyleveld &amp; Brownsword </w:t>
      </w:r>
      <w:r>
        <w:rPr>
          <w:iCs/>
          <w:lang w:val="en-GB"/>
        </w:rPr>
        <w:t>(note </w:t>
      </w:r>
      <w:r>
        <w:rPr>
          <w:iCs/>
          <w:lang w:val="en-GB"/>
        </w:rPr>
        <w:fldChar w:fldCharType="begin"/>
      </w:r>
      <w:r>
        <w:rPr>
          <w:iCs/>
          <w:lang w:val="en-GB"/>
        </w:rPr>
        <w:instrText xml:space="preserve"> NOTEREF _Ref520139007 \h  \* MERGEFORMAT </w:instrText>
      </w:r>
      <w:r>
        <w:rPr>
          <w:iCs/>
          <w:lang w:val="en-GB"/>
        </w:rPr>
      </w:r>
      <w:r>
        <w:rPr>
          <w:iCs/>
          <w:lang w:val="en-GB"/>
        </w:rPr>
        <w:fldChar w:fldCharType="separate"/>
      </w:r>
      <w:r w:rsidR="00F97B66">
        <w:rPr>
          <w:iCs/>
          <w:lang w:val="en-GB"/>
        </w:rPr>
        <w:t>8</w:t>
      </w:r>
      <w:r>
        <w:rPr>
          <w:iCs/>
          <w:lang w:val="en-GB"/>
        </w:rPr>
        <w:fldChar w:fldCharType="end"/>
      </w:r>
      <w:r>
        <w:rPr>
          <w:iCs/>
          <w:lang w:val="en-GB"/>
        </w:rPr>
        <w:t xml:space="preserve"> above) at</w:t>
      </w:r>
      <w:r w:rsidRPr="003D19A2">
        <w:rPr>
          <w:lang w:val="en-GB"/>
        </w:rPr>
        <w:t xml:space="preserve"> 53 &amp; </w:t>
      </w:r>
      <w:r w:rsidRPr="003D19A2">
        <w:rPr>
          <w:bCs/>
          <w:lang w:val="en-GB"/>
        </w:rPr>
        <w:t xml:space="preserve">Beyleveld &amp; Brownsword </w:t>
      </w:r>
      <w:r>
        <w:rPr>
          <w:bCs/>
          <w:lang w:val="en-GB"/>
        </w:rPr>
        <w:t>(note </w:t>
      </w:r>
      <w:r>
        <w:rPr>
          <w:bCs/>
          <w:lang w:val="en-GB"/>
        </w:rPr>
        <w:fldChar w:fldCharType="begin"/>
      </w:r>
      <w:r>
        <w:rPr>
          <w:bCs/>
          <w:lang w:val="en-GB"/>
        </w:rPr>
        <w:instrText xml:space="preserve"> NOTEREF _Ref520140830 \h  \* MERGEFORMAT </w:instrText>
      </w:r>
      <w:r>
        <w:rPr>
          <w:bCs/>
          <w:lang w:val="en-GB"/>
        </w:rPr>
      </w:r>
      <w:r>
        <w:rPr>
          <w:bCs/>
          <w:lang w:val="en-GB"/>
        </w:rPr>
        <w:fldChar w:fldCharType="separate"/>
      </w:r>
      <w:r w:rsidR="00F97B66">
        <w:rPr>
          <w:bCs/>
          <w:lang w:val="en-GB"/>
        </w:rPr>
        <w:t>15</w:t>
      </w:r>
      <w:r>
        <w:rPr>
          <w:bCs/>
          <w:lang w:val="en-GB"/>
        </w:rPr>
        <w:fldChar w:fldCharType="end"/>
      </w:r>
      <w:r>
        <w:rPr>
          <w:bCs/>
          <w:lang w:val="en-GB"/>
        </w:rPr>
        <w:t xml:space="preserve"> above) at</w:t>
      </w:r>
      <w:r w:rsidRPr="003D19A2">
        <w:rPr>
          <w:bCs/>
          <w:lang w:val="en-GB"/>
        </w:rPr>
        <w:t xml:space="preserve"> 666. See also </w:t>
      </w:r>
      <w:r>
        <w:rPr>
          <w:bCs/>
          <w:lang w:val="en-GB"/>
        </w:rPr>
        <w:t xml:space="preserve">AJ </w:t>
      </w:r>
      <w:r w:rsidRPr="003D19A2">
        <w:rPr>
          <w:lang w:val="en-GB"/>
        </w:rPr>
        <w:t xml:space="preserve">Barnard </w:t>
      </w:r>
      <w:r w:rsidRPr="003D19A2">
        <w:rPr>
          <w:i/>
          <w:iCs/>
          <w:lang w:val="en-GB"/>
        </w:rPr>
        <w:t>Critical legal argument for contractual justice</w:t>
      </w:r>
      <w:r>
        <w:rPr>
          <w:i/>
          <w:iCs/>
          <w:lang w:val="en-GB"/>
        </w:rPr>
        <w:t xml:space="preserve"> in the South African law of contract</w:t>
      </w:r>
      <w:r w:rsidRPr="003D19A2">
        <w:rPr>
          <w:i/>
          <w:iCs/>
          <w:lang w:val="en-GB"/>
        </w:rPr>
        <w:t xml:space="preserve"> </w:t>
      </w:r>
      <w:r w:rsidRPr="003D19A2">
        <w:rPr>
          <w:lang w:val="en-GB"/>
        </w:rPr>
        <w:t>(</w:t>
      </w:r>
      <w:r>
        <w:rPr>
          <w:lang w:val="en-GB"/>
        </w:rPr>
        <w:t xml:space="preserve">LLD University of Pretoria </w:t>
      </w:r>
      <w:r w:rsidRPr="003D19A2">
        <w:rPr>
          <w:lang w:val="en-GB"/>
        </w:rPr>
        <w:t>2005) 233.</w:t>
      </w:r>
      <w:r w:rsidRPr="003D19A2">
        <w:rPr>
          <w:bCs/>
          <w:lang w:val="en-GB"/>
        </w:rPr>
        <w:t xml:space="preserve"> </w:t>
      </w:r>
    </w:p>
  </w:footnote>
  <w:footnote w:id="17">
    <w:p w:rsidR="00B613DB" w:rsidRPr="003D19A2" w:rsidRDefault="00B613DB" w:rsidP="002F6072">
      <w:pPr>
        <w:pStyle w:val="FootnoteText"/>
      </w:pPr>
      <w:r w:rsidRPr="003D19A2">
        <w:rPr>
          <w:rStyle w:val="FootnoteReference"/>
          <w:lang w:val="en-GB"/>
        </w:rPr>
        <w:footnoteRef/>
      </w:r>
      <w:r w:rsidRPr="003D19A2">
        <w:t xml:space="preserve"> </w:t>
      </w:r>
      <w:r w:rsidRPr="003D19A2">
        <w:tab/>
        <w:t xml:space="preserve">Beyleveld &amp; Brownsword </w:t>
      </w:r>
      <w:r>
        <w:rPr>
          <w:bCs/>
          <w:lang w:val="en-GB"/>
        </w:rPr>
        <w:t>(note </w:t>
      </w:r>
      <w:r>
        <w:rPr>
          <w:bCs/>
          <w:lang w:val="en-GB"/>
        </w:rPr>
        <w:fldChar w:fldCharType="begin"/>
      </w:r>
      <w:r>
        <w:rPr>
          <w:bCs/>
          <w:lang w:val="en-GB"/>
        </w:rPr>
        <w:instrText xml:space="preserve"> NOTEREF _Ref520140830 \h  \* MERGEFORMAT </w:instrText>
      </w:r>
      <w:r>
        <w:rPr>
          <w:bCs/>
          <w:lang w:val="en-GB"/>
        </w:rPr>
      </w:r>
      <w:r>
        <w:rPr>
          <w:bCs/>
          <w:lang w:val="en-GB"/>
        </w:rPr>
        <w:fldChar w:fldCharType="separate"/>
      </w:r>
      <w:r w:rsidR="00F97B66">
        <w:rPr>
          <w:bCs/>
          <w:lang w:val="en-GB"/>
        </w:rPr>
        <w:t>15</w:t>
      </w:r>
      <w:r>
        <w:rPr>
          <w:bCs/>
          <w:lang w:val="en-GB"/>
        </w:rPr>
        <w:fldChar w:fldCharType="end"/>
      </w:r>
      <w:r>
        <w:rPr>
          <w:bCs/>
          <w:lang w:val="en-GB"/>
        </w:rPr>
        <w:t xml:space="preserve"> above) at</w:t>
      </w:r>
      <w:r w:rsidRPr="003D19A2">
        <w:rPr>
          <w:bCs/>
          <w:lang w:val="en-GB"/>
        </w:rPr>
        <w:t xml:space="preserve"> </w:t>
      </w:r>
      <w:r w:rsidRPr="003D19A2">
        <w:t>666</w:t>
      </w:r>
      <w:r>
        <w:t>.</w:t>
      </w:r>
    </w:p>
  </w:footnote>
  <w:footnote w:id="18">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Pr>
          <w:lang w:val="en-GB"/>
        </w:rPr>
        <w:t>Kant (note </w:t>
      </w:r>
      <w:r>
        <w:rPr>
          <w:lang w:val="en-GB"/>
        </w:rPr>
        <w:fldChar w:fldCharType="begin"/>
      </w:r>
      <w:r>
        <w:rPr>
          <w:lang w:val="en-GB"/>
        </w:rPr>
        <w:instrText xml:space="preserve"> NOTEREF _Ref520140348 \h  \* MERGEFORMAT </w:instrText>
      </w:r>
      <w:r>
        <w:rPr>
          <w:lang w:val="en-GB"/>
        </w:rPr>
      </w:r>
      <w:r>
        <w:rPr>
          <w:lang w:val="en-GB"/>
        </w:rPr>
        <w:fldChar w:fldCharType="separate"/>
      </w:r>
      <w:r w:rsidR="00F97B66">
        <w:rPr>
          <w:lang w:val="en-GB"/>
        </w:rPr>
        <w:t>13</w:t>
      </w:r>
      <w:r>
        <w:rPr>
          <w:lang w:val="en-GB"/>
        </w:rPr>
        <w:fldChar w:fldCharType="end"/>
      </w:r>
      <w:r>
        <w:rPr>
          <w:lang w:val="en-GB"/>
        </w:rPr>
        <w:t xml:space="preserve"> above) at</w:t>
      </w:r>
      <w:r w:rsidRPr="003D19A2">
        <w:rPr>
          <w:lang w:val="en-GB"/>
        </w:rPr>
        <w:t xml:space="preserve"> 91 as quoted by </w:t>
      </w:r>
      <w:r w:rsidRPr="003D19A2">
        <w:rPr>
          <w:bCs/>
          <w:lang w:val="en-GB"/>
        </w:rPr>
        <w:t xml:space="preserve">Beyleveld &amp; Brownsword </w:t>
      </w:r>
      <w:r>
        <w:rPr>
          <w:bCs/>
          <w:lang w:val="en-GB"/>
        </w:rPr>
        <w:t>(note </w:t>
      </w:r>
      <w:r>
        <w:rPr>
          <w:bCs/>
          <w:lang w:val="en-GB"/>
        </w:rPr>
        <w:fldChar w:fldCharType="begin"/>
      </w:r>
      <w:r>
        <w:rPr>
          <w:bCs/>
          <w:lang w:val="en-GB"/>
        </w:rPr>
        <w:instrText xml:space="preserve"> NOTEREF _Ref520140830 \h  \* MERGEFORMAT </w:instrText>
      </w:r>
      <w:r>
        <w:rPr>
          <w:bCs/>
          <w:lang w:val="en-GB"/>
        </w:rPr>
      </w:r>
      <w:r>
        <w:rPr>
          <w:bCs/>
          <w:lang w:val="en-GB"/>
        </w:rPr>
        <w:fldChar w:fldCharType="separate"/>
      </w:r>
      <w:r w:rsidR="00F97B66">
        <w:rPr>
          <w:bCs/>
          <w:lang w:val="en-GB"/>
        </w:rPr>
        <w:t>15</w:t>
      </w:r>
      <w:r>
        <w:rPr>
          <w:bCs/>
          <w:lang w:val="en-GB"/>
        </w:rPr>
        <w:fldChar w:fldCharType="end"/>
      </w:r>
      <w:r>
        <w:rPr>
          <w:bCs/>
          <w:lang w:val="en-GB"/>
        </w:rPr>
        <w:t xml:space="preserve"> above) at</w:t>
      </w:r>
      <w:r w:rsidRPr="003D19A2">
        <w:rPr>
          <w:bCs/>
          <w:lang w:val="en-GB"/>
        </w:rPr>
        <w:t xml:space="preserve"> 666.</w:t>
      </w:r>
    </w:p>
  </w:footnote>
  <w:footnote w:id="19">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Pr>
          <w:bCs/>
          <w:lang w:val="en-GB"/>
        </w:rPr>
        <w:t>Ibid</w:t>
      </w:r>
      <w:r w:rsidRPr="003D19A2">
        <w:rPr>
          <w:bCs/>
          <w:lang w:val="en-GB"/>
        </w:rPr>
        <w:t xml:space="preserve">. See also Lubbe </w:t>
      </w:r>
      <w:r>
        <w:rPr>
          <w:bCs/>
          <w:lang w:val="en-GB"/>
        </w:rPr>
        <w:t>(note </w:t>
      </w:r>
      <w:r>
        <w:rPr>
          <w:bCs/>
          <w:lang w:val="en-GB"/>
        </w:rPr>
        <w:fldChar w:fldCharType="begin"/>
      </w:r>
      <w:r>
        <w:rPr>
          <w:bCs/>
          <w:lang w:val="en-GB"/>
        </w:rPr>
        <w:instrText xml:space="preserve"> NOTEREF _Ref520139260 \h  \* MERGEFORMAT </w:instrText>
      </w:r>
      <w:r>
        <w:rPr>
          <w:bCs/>
          <w:lang w:val="en-GB"/>
        </w:rPr>
      </w:r>
      <w:r>
        <w:rPr>
          <w:bCs/>
          <w:lang w:val="en-GB"/>
        </w:rPr>
        <w:fldChar w:fldCharType="separate"/>
      </w:r>
      <w:r w:rsidR="00F97B66">
        <w:rPr>
          <w:bCs/>
          <w:lang w:val="en-GB"/>
        </w:rPr>
        <w:t>10</w:t>
      </w:r>
      <w:r>
        <w:rPr>
          <w:bCs/>
          <w:lang w:val="en-GB"/>
        </w:rPr>
        <w:fldChar w:fldCharType="end"/>
      </w:r>
      <w:r>
        <w:rPr>
          <w:bCs/>
          <w:lang w:val="en-GB"/>
        </w:rPr>
        <w:t xml:space="preserve"> above) at</w:t>
      </w:r>
      <w:r w:rsidRPr="003D19A2">
        <w:rPr>
          <w:bCs/>
          <w:lang w:val="en-GB"/>
        </w:rPr>
        <w:t xml:space="preserve"> 421.</w:t>
      </w:r>
    </w:p>
  </w:footnote>
  <w:footnote w:id="20">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sidRPr="003D19A2">
        <w:rPr>
          <w:bCs/>
          <w:lang w:val="en-GB"/>
        </w:rPr>
        <w:t xml:space="preserve">Brownsword </w:t>
      </w:r>
      <w:r>
        <w:rPr>
          <w:bCs/>
          <w:lang w:val="en-GB"/>
        </w:rPr>
        <w:t xml:space="preserve">(note </w:t>
      </w:r>
      <w:r>
        <w:rPr>
          <w:bCs/>
          <w:lang w:val="en-GB"/>
        </w:rPr>
        <w:fldChar w:fldCharType="begin"/>
      </w:r>
      <w:r>
        <w:rPr>
          <w:bCs/>
          <w:lang w:val="en-GB"/>
        </w:rPr>
        <w:instrText xml:space="preserve"> NOTEREF _Ref473022004 \h  \* MERGEFORMAT </w:instrText>
      </w:r>
      <w:r>
        <w:rPr>
          <w:bCs/>
          <w:lang w:val="en-GB"/>
        </w:rPr>
      </w:r>
      <w:r>
        <w:rPr>
          <w:bCs/>
          <w:lang w:val="en-GB"/>
        </w:rPr>
        <w:fldChar w:fldCharType="separate"/>
      </w:r>
      <w:r w:rsidR="00F97B66">
        <w:rPr>
          <w:bCs/>
          <w:lang w:val="en-GB"/>
        </w:rPr>
        <w:t>11</w:t>
      </w:r>
      <w:r>
        <w:rPr>
          <w:bCs/>
          <w:lang w:val="en-GB"/>
        </w:rPr>
        <w:fldChar w:fldCharType="end"/>
      </w:r>
      <w:r>
        <w:rPr>
          <w:bCs/>
          <w:lang w:val="en-GB"/>
        </w:rPr>
        <w:t xml:space="preserve"> above) at</w:t>
      </w:r>
      <w:r w:rsidRPr="003D19A2">
        <w:rPr>
          <w:lang w:val="en-GB"/>
        </w:rPr>
        <w:t xml:space="preserve"> 183.</w:t>
      </w:r>
    </w:p>
  </w:footnote>
  <w:footnote w:id="21">
    <w:p w:rsidR="00B613DB" w:rsidRDefault="00B613DB" w:rsidP="002F6072">
      <w:pPr>
        <w:pStyle w:val="FootnoteText"/>
      </w:pPr>
      <w:r>
        <w:rPr>
          <w:rStyle w:val="FootnoteReference"/>
        </w:rPr>
        <w:footnoteRef/>
      </w:r>
      <w:r>
        <w:t xml:space="preserve"> </w:t>
      </w:r>
      <w:r>
        <w:tab/>
        <w:t xml:space="preserve">R </w:t>
      </w:r>
      <w:r w:rsidRPr="003D19A2">
        <w:t xml:space="preserve">Brownsword </w:t>
      </w:r>
      <w:r>
        <w:t>‘</w:t>
      </w:r>
      <w:r w:rsidRPr="003D19A2">
        <w:t>Human dignity from a legal perspective</w:t>
      </w:r>
      <w:r>
        <w:t>’</w:t>
      </w:r>
      <w:r w:rsidRPr="003D19A2">
        <w:t xml:space="preserve"> in </w:t>
      </w:r>
      <w:r>
        <w:t xml:space="preserve">M </w:t>
      </w:r>
      <w:r w:rsidRPr="003D19A2">
        <w:t xml:space="preserve">Düwell </w:t>
      </w:r>
      <w:r w:rsidRPr="003D19A2">
        <w:rPr>
          <w:i/>
        </w:rPr>
        <w:t>et al</w:t>
      </w:r>
      <w:r w:rsidRPr="003D19A2">
        <w:t xml:space="preserve"> (eds) </w:t>
      </w:r>
      <w:r w:rsidRPr="003D19A2">
        <w:rPr>
          <w:i/>
        </w:rPr>
        <w:t>The Cambridge handbook of human dignity: interdisciplinary perspectives</w:t>
      </w:r>
      <w:r w:rsidRPr="003D19A2">
        <w:t xml:space="preserve"> (2014) 4</w:t>
      </w:r>
      <w:r>
        <w:t>.</w:t>
      </w:r>
    </w:p>
  </w:footnote>
  <w:footnote w:id="22">
    <w:p w:rsidR="00B613DB" w:rsidRPr="00E26C63" w:rsidRDefault="00B613DB" w:rsidP="002F6072">
      <w:pPr>
        <w:pStyle w:val="FootnoteText"/>
      </w:pPr>
      <w:r>
        <w:rPr>
          <w:rStyle w:val="FootnoteReference"/>
        </w:rPr>
        <w:footnoteRef/>
      </w:r>
      <w:r>
        <w:t xml:space="preserve"> </w:t>
      </w:r>
      <w:r>
        <w:tab/>
        <w:t xml:space="preserve">H </w:t>
      </w:r>
      <w:r w:rsidRPr="003D19A2">
        <w:rPr>
          <w:lang w:val="en-GB"/>
        </w:rPr>
        <w:t>Botha</w:t>
      </w:r>
      <w:r>
        <w:rPr>
          <w:lang w:val="en-GB"/>
        </w:rPr>
        <w:t xml:space="preserve"> ‘Human dignity in comparative perspective’</w:t>
      </w:r>
      <w:r w:rsidRPr="003D19A2">
        <w:rPr>
          <w:lang w:val="en-GB"/>
        </w:rPr>
        <w:t xml:space="preserve"> </w:t>
      </w:r>
      <w:r>
        <w:rPr>
          <w:lang w:val="en-GB"/>
        </w:rPr>
        <w:t>(</w:t>
      </w:r>
      <w:r w:rsidRPr="003D19A2">
        <w:rPr>
          <w:lang w:val="en-GB"/>
        </w:rPr>
        <w:t>2009</w:t>
      </w:r>
      <w:r>
        <w:rPr>
          <w:lang w:val="en-GB"/>
        </w:rPr>
        <w:t>) 2</w:t>
      </w:r>
      <w:r w:rsidRPr="003D19A2">
        <w:rPr>
          <w:lang w:val="en-GB"/>
        </w:rPr>
        <w:t xml:space="preserve"> </w:t>
      </w:r>
      <w:r w:rsidRPr="003D19A2">
        <w:rPr>
          <w:i/>
          <w:iCs/>
          <w:lang w:val="en-GB"/>
        </w:rPr>
        <w:t>Stell</w:t>
      </w:r>
      <w:r>
        <w:rPr>
          <w:i/>
          <w:iCs/>
          <w:lang w:val="en-GB"/>
        </w:rPr>
        <w:t>enbosch</w:t>
      </w:r>
      <w:r w:rsidRPr="003D19A2">
        <w:rPr>
          <w:i/>
          <w:iCs/>
          <w:lang w:val="en-GB"/>
        </w:rPr>
        <w:t xml:space="preserve"> L</w:t>
      </w:r>
      <w:r>
        <w:rPr>
          <w:i/>
          <w:iCs/>
          <w:lang w:val="en-GB"/>
        </w:rPr>
        <w:t xml:space="preserve">aw </w:t>
      </w:r>
      <w:r w:rsidRPr="003D19A2">
        <w:rPr>
          <w:i/>
          <w:iCs/>
          <w:lang w:val="en-GB"/>
        </w:rPr>
        <w:t>R</w:t>
      </w:r>
      <w:r>
        <w:rPr>
          <w:i/>
          <w:iCs/>
          <w:lang w:val="en-GB"/>
        </w:rPr>
        <w:t>eview</w:t>
      </w:r>
      <w:r>
        <w:rPr>
          <w:iCs/>
          <w:lang w:val="en-GB"/>
        </w:rPr>
        <w:t xml:space="preserve"> 171,</w:t>
      </w:r>
      <w:r w:rsidRPr="003D19A2">
        <w:rPr>
          <w:lang w:val="en-GB"/>
        </w:rPr>
        <w:t xml:space="preserve"> 174</w:t>
      </w:r>
      <w:r w:rsidRPr="003D19A2">
        <w:t>.</w:t>
      </w:r>
      <w:r>
        <w:t xml:space="preserve"> </w:t>
      </w:r>
      <w:r w:rsidRPr="003D19A2">
        <w:rPr>
          <w:lang w:eastAsia="x-none"/>
        </w:rPr>
        <w:t>An oft-quoted example</w:t>
      </w:r>
      <w:r>
        <w:rPr>
          <w:lang w:eastAsia="x-none"/>
        </w:rPr>
        <w:t xml:space="preserve"> </w:t>
      </w:r>
      <w:r>
        <w:t xml:space="preserve">of this approach to human dignity is </w:t>
      </w:r>
      <w:r w:rsidRPr="00797B82">
        <w:t>art 22 of the Universal Declaration of Human Rights (1948)</w:t>
      </w:r>
      <w:r w:rsidRPr="00797B82">
        <w:rPr>
          <w:lang w:eastAsia="x-none"/>
        </w:rPr>
        <w:t xml:space="preserve"> (see eg </w:t>
      </w:r>
      <w:r w:rsidRPr="00797B82">
        <w:rPr>
          <w:lang w:val="en-GB"/>
        </w:rPr>
        <w:t>Brownsword (note </w:t>
      </w:r>
      <w:r w:rsidRPr="00797B82">
        <w:rPr>
          <w:lang w:val="en-GB"/>
        </w:rPr>
        <w:fldChar w:fldCharType="begin"/>
      </w:r>
      <w:r w:rsidRPr="00797B82">
        <w:rPr>
          <w:lang w:val="en-GB"/>
        </w:rPr>
        <w:instrText xml:space="preserve"> NOTEREF _Ref520141172 \h  \* MERGEFORMAT </w:instrText>
      </w:r>
      <w:r w:rsidRPr="00797B82">
        <w:rPr>
          <w:lang w:val="en-GB"/>
        </w:rPr>
      </w:r>
      <w:r w:rsidRPr="00797B82">
        <w:rPr>
          <w:lang w:val="en-GB"/>
        </w:rPr>
        <w:fldChar w:fldCharType="separate"/>
      </w:r>
      <w:r w:rsidR="00F97B66">
        <w:rPr>
          <w:lang w:val="en-GB"/>
        </w:rPr>
        <w:t>21</w:t>
      </w:r>
      <w:r w:rsidRPr="00797B82">
        <w:rPr>
          <w:lang w:val="en-GB"/>
        </w:rPr>
        <w:fldChar w:fldCharType="end"/>
      </w:r>
      <w:r w:rsidRPr="00797B82">
        <w:rPr>
          <w:lang w:val="en-GB"/>
        </w:rPr>
        <w:t xml:space="preserve"> a</w:t>
      </w:r>
      <w:r>
        <w:rPr>
          <w:lang w:val="en-GB"/>
        </w:rPr>
        <w:t>bove) at</w:t>
      </w:r>
      <w:r w:rsidRPr="003D19A2">
        <w:rPr>
          <w:iCs/>
          <w:lang w:val="en-GB"/>
        </w:rPr>
        <w:t xml:space="preserve"> 4</w:t>
      </w:r>
      <w:r>
        <w:t>).</w:t>
      </w:r>
    </w:p>
  </w:footnote>
  <w:footnote w:id="23">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t xml:space="preserve">Beyleveld &amp; Brownsword </w:t>
      </w:r>
      <w:r>
        <w:rPr>
          <w:iCs/>
          <w:lang w:val="en-GB"/>
        </w:rPr>
        <w:t>(note </w:t>
      </w:r>
      <w:r>
        <w:rPr>
          <w:iCs/>
          <w:lang w:val="en-GB"/>
        </w:rPr>
        <w:fldChar w:fldCharType="begin"/>
      </w:r>
      <w:r>
        <w:rPr>
          <w:iCs/>
          <w:lang w:val="en-GB"/>
        </w:rPr>
        <w:instrText xml:space="preserve"> NOTEREF _Ref520139007 \h  \* MERGEFORMAT </w:instrText>
      </w:r>
      <w:r>
        <w:rPr>
          <w:iCs/>
          <w:lang w:val="en-GB"/>
        </w:rPr>
      </w:r>
      <w:r>
        <w:rPr>
          <w:iCs/>
          <w:lang w:val="en-GB"/>
        </w:rPr>
        <w:fldChar w:fldCharType="separate"/>
      </w:r>
      <w:r w:rsidR="00F97B66">
        <w:rPr>
          <w:iCs/>
          <w:lang w:val="en-GB"/>
        </w:rPr>
        <w:t>8</w:t>
      </w:r>
      <w:r>
        <w:rPr>
          <w:iCs/>
          <w:lang w:val="en-GB"/>
        </w:rPr>
        <w:fldChar w:fldCharType="end"/>
      </w:r>
      <w:r>
        <w:rPr>
          <w:iCs/>
          <w:lang w:val="en-GB"/>
        </w:rPr>
        <w:t xml:space="preserve"> above) at</w:t>
      </w:r>
      <w:r w:rsidRPr="003D19A2">
        <w:rPr>
          <w:lang w:val="en-GB"/>
        </w:rPr>
        <w:t xml:space="preserve"> 27-28.</w:t>
      </w:r>
    </w:p>
  </w:footnote>
  <w:footnote w:id="24">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Pr>
          <w:lang w:val="en-GB"/>
        </w:rPr>
        <w:t xml:space="preserve">R </w:t>
      </w:r>
      <w:r w:rsidRPr="003D19A2">
        <w:rPr>
          <w:lang w:val="en-GB"/>
        </w:rPr>
        <w:t xml:space="preserve">Brownsword </w:t>
      </w:r>
      <w:r>
        <w:rPr>
          <w:lang w:val="en-GB"/>
        </w:rPr>
        <w:t>‘</w:t>
      </w:r>
      <w:r w:rsidRPr="003D19A2">
        <w:rPr>
          <w:lang w:val="en-GB"/>
        </w:rPr>
        <w:t>Genetic engineering, free trade and human rights: global standards and local ethics</w:t>
      </w:r>
      <w:r>
        <w:rPr>
          <w:lang w:val="en-GB"/>
        </w:rPr>
        <w:t>’</w:t>
      </w:r>
      <w:r w:rsidRPr="003D19A2">
        <w:rPr>
          <w:lang w:val="en-GB"/>
        </w:rPr>
        <w:t xml:space="preserve"> in</w:t>
      </w:r>
      <w:r>
        <w:rPr>
          <w:lang w:val="en-GB"/>
        </w:rPr>
        <w:t xml:space="preserve"> D</w:t>
      </w:r>
      <w:r w:rsidRPr="003D19A2">
        <w:rPr>
          <w:lang w:val="en-GB"/>
        </w:rPr>
        <w:t xml:space="preserve"> Wüger &amp; </w:t>
      </w:r>
      <w:r>
        <w:rPr>
          <w:lang w:val="en-GB"/>
        </w:rPr>
        <w:t xml:space="preserve">T </w:t>
      </w:r>
      <w:r w:rsidRPr="003D19A2">
        <w:rPr>
          <w:lang w:val="en-GB"/>
        </w:rPr>
        <w:t xml:space="preserve">Cottier (eds) </w:t>
      </w:r>
      <w:r w:rsidRPr="003D19A2">
        <w:rPr>
          <w:i/>
          <w:iCs/>
          <w:lang w:val="en-GB"/>
        </w:rPr>
        <w:t>Genetic engineering and the world trade system</w:t>
      </w:r>
      <w:r>
        <w:rPr>
          <w:i/>
          <w:iCs/>
          <w:lang w:val="en-GB"/>
        </w:rPr>
        <w:t>: world trade forum</w:t>
      </w:r>
      <w:r w:rsidRPr="003D19A2">
        <w:rPr>
          <w:i/>
          <w:iCs/>
          <w:lang w:val="en-GB"/>
        </w:rPr>
        <w:t xml:space="preserve"> </w:t>
      </w:r>
      <w:r w:rsidRPr="003D19A2">
        <w:rPr>
          <w:lang w:val="en-GB"/>
        </w:rPr>
        <w:t>(2008) 297-298.</w:t>
      </w:r>
    </w:p>
  </w:footnote>
  <w:footnote w:id="25">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Pr>
          <w:lang w:val="en-GB"/>
        </w:rPr>
        <w:t xml:space="preserve">Ibid at </w:t>
      </w:r>
      <w:r w:rsidRPr="003D19A2">
        <w:rPr>
          <w:lang w:val="en-GB"/>
        </w:rPr>
        <w:t>189.</w:t>
      </w:r>
    </w:p>
  </w:footnote>
  <w:footnote w:id="26">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sidRPr="003D19A2">
        <w:rPr>
          <w:bCs/>
          <w:lang w:val="en-GB"/>
        </w:rPr>
        <w:t xml:space="preserve">Brownsword </w:t>
      </w:r>
      <w:r>
        <w:rPr>
          <w:bCs/>
          <w:lang w:val="en-GB"/>
        </w:rPr>
        <w:t xml:space="preserve">(note </w:t>
      </w:r>
      <w:r>
        <w:rPr>
          <w:bCs/>
          <w:lang w:val="en-GB"/>
        </w:rPr>
        <w:fldChar w:fldCharType="begin"/>
      </w:r>
      <w:r>
        <w:rPr>
          <w:bCs/>
          <w:lang w:val="en-GB"/>
        </w:rPr>
        <w:instrText xml:space="preserve"> NOTEREF _Ref473022004 \h  \* MERGEFORMAT </w:instrText>
      </w:r>
      <w:r>
        <w:rPr>
          <w:bCs/>
          <w:lang w:val="en-GB"/>
        </w:rPr>
      </w:r>
      <w:r>
        <w:rPr>
          <w:bCs/>
          <w:lang w:val="en-GB"/>
        </w:rPr>
        <w:fldChar w:fldCharType="separate"/>
      </w:r>
      <w:r w:rsidR="00F97B66">
        <w:rPr>
          <w:bCs/>
          <w:lang w:val="en-GB"/>
        </w:rPr>
        <w:t>11</w:t>
      </w:r>
      <w:r>
        <w:rPr>
          <w:bCs/>
          <w:lang w:val="en-GB"/>
        </w:rPr>
        <w:fldChar w:fldCharType="end"/>
      </w:r>
      <w:r>
        <w:rPr>
          <w:bCs/>
          <w:lang w:val="en-GB"/>
        </w:rPr>
        <w:t xml:space="preserve"> above) at</w:t>
      </w:r>
      <w:r w:rsidRPr="003D19A2">
        <w:rPr>
          <w:lang w:val="en-GB"/>
        </w:rPr>
        <w:t xml:space="preserve"> 193-194. See also Hawthorne </w:t>
      </w:r>
      <w:r>
        <w:rPr>
          <w:lang w:val="en-GB"/>
        </w:rPr>
        <w:t>(note </w:t>
      </w:r>
      <w:r>
        <w:rPr>
          <w:lang w:val="en-GB"/>
        </w:rPr>
        <w:fldChar w:fldCharType="begin"/>
      </w:r>
      <w:r>
        <w:rPr>
          <w:lang w:val="en-GB"/>
        </w:rPr>
        <w:instrText xml:space="preserve"> NOTEREF _Ref520139260 \h  \* MERGEFORMAT </w:instrText>
      </w:r>
      <w:r>
        <w:rPr>
          <w:lang w:val="en-GB"/>
        </w:rPr>
      </w:r>
      <w:r>
        <w:rPr>
          <w:lang w:val="en-GB"/>
        </w:rPr>
        <w:fldChar w:fldCharType="separate"/>
      </w:r>
      <w:r w:rsidR="00F97B66">
        <w:rPr>
          <w:lang w:val="en-GB"/>
        </w:rPr>
        <w:t>10</w:t>
      </w:r>
      <w:r>
        <w:rPr>
          <w:lang w:val="en-GB"/>
        </w:rPr>
        <w:fldChar w:fldCharType="end"/>
      </w:r>
      <w:r>
        <w:rPr>
          <w:lang w:val="en-GB"/>
        </w:rPr>
        <w:t xml:space="preserve"> above) at</w:t>
      </w:r>
      <w:r w:rsidRPr="003D19A2">
        <w:rPr>
          <w:lang w:val="en-GB"/>
        </w:rPr>
        <w:t xml:space="preserve"> para 4 2; </w:t>
      </w:r>
      <w:r>
        <w:rPr>
          <w:lang w:val="en-GB"/>
        </w:rPr>
        <w:t>D </w:t>
      </w:r>
      <w:r w:rsidRPr="003D19A2">
        <w:rPr>
          <w:lang w:val="en-GB"/>
        </w:rPr>
        <w:t>Bhana</w:t>
      </w:r>
      <w:r>
        <w:rPr>
          <w:lang w:val="en-GB"/>
        </w:rPr>
        <w:t xml:space="preserve"> ‘The law of contract and the Constitution: </w:t>
      </w:r>
      <w:r>
        <w:rPr>
          <w:i/>
          <w:lang w:val="en-GB"/>
        </w:rPr>
        <w:t xml:space="preserve">Napier v Barkhuizen </w:t>
      </w:r>
      <w:r>
        <w:rPr>
          <w:lang w:val="en-GB"/>
        </w:rPr>
        <w:t>(SCA)’</w:t>
      </w:r>
      <w:r w:rsidRPr="003D19A2">
        <w:rPr>
          <w:lang w:val="en-GB"/>
        </w:rPr>
        <w:t xml:space="preserve"> </w:t>
      </w:r>
      <w:r>
        <w:rPr>
          <w:lang w:val="en-GB"/>
        </w:rPr>
        <w:t>(</w:t>
      </w:r>
      <w:r w:rsidRPr="003D19A2">
        <w:rPr>
          <w:lang w:val="en-GB"/>
        </w:rPr>
        <w:t>2007</w:t>
      </w:r>
      <w:r>
        <w:rPr>
          <w:lang w:val="en-GB"/>
        </w:rPr>
        <w:t>) 24</w:t>
      </w:r>
      <w:r w:rsidRPr="003D19A2">
        <w:rPr>
          <w:lang w:val="en-GB"/>
        </w:rPr>
        <w:t xml:space="preserve"> </w:t>
      </w:r>
      <w:r w:rsidRPr="003D19A2">
        <w:rPr>
          <w:i/>
          <w:iCs/>
          <w:lang w:val="en-GB"/>
        </w:rPr>
        <w:t>S</w:t>
      </w:r>
      <w:r>
        <w:rPr>
          <w:i/>
          <w:iCs/>
          <w:lang w:val="en-GB"/>
        </w:rPr>
        <w:t xml:space="preserve">outh </w:t>
      </w:r>
      <w:r w:rsidRPr="003D19A2">
        <w:rPr>
          <w:i/>
          <w:iCs/>
          <w:lang w:val="en-GB"/>
        </w:rPr>
        <w:t>A</w:t>
      </w:r>
      <w:r>
        <w:rPr>
          <w:i/>
          <w:iCs/>
          <w:lang w:val="en-GB"/>
        </w:rPr>
        <w:t xml:space="preserve">frican </w:t>
      </w:r>
      <w:r w:rsidRPr="003D19A2">
        <w:rPr>
          <w:i/>
          <w:iCs/>
          <w:lang w:val="en-GB"/>
        </w:rPr>
        <w:t>L</w:t>
      </w:r>
      <w:r>
        <w:rPr>
          <w:i/>
          <w:iCs/>
          <w:lang w:val="en-GB"/>
        </w:rPr>
        <w:t xml:space="preserve">aw </w:t>
      </w:r>
      <w:r w:rsidRPr="003D19A2">
        <w:rPr>
          <w:i/>
          <w:iCs/>
          <w:lang w:val="en-GB"/>
        </w:rPr>
        <w:t>J</w:t>
      </w:r>
      <w:r>
        <w:rPr>
          <w:i/>
          <w:iCs/>
          <w:lang w:val="en-GB"/>
        </w:rPr>
        <w:t>ournal</w:t>
      </w:r>
      <w:r>
        <w:rPr>
          <w:iCs/>
          <w:lang w:val="en-GB"/>
        </w:rPr>
        <w:t xml:space="preserve"> 269,</w:t>
      </w:r>
      <w:r w:rsidRPr="003D19A2">
        <w:rPr>
          <w:lang w:val="en-GB"/>
        </w:rPr>
        <w:t xml:space="preserve"> 274; </w:t>
      </w:r>
      <w:r w:rsidRPr="003D19A2">
        <w:rPr>
          <w:bCs/>
          <w:lang w:val="en-GB"/>
        </w:rPr>
        <w:t xml:space="preserve">Bhana &amp; Pieterse </w:t>
      </w:r>
      <w:r>
        <w:rPr>
          <w:bCs/>
          <w:lang w:val="en-GB"/>
        </w:rPr>
        <w:t>(note </w:t>
      </w:r>
      <w:r>
        <w:rPr>
          <w:bCs/>
          <w:lang w:val="en-GB"/>
        </w:rPr>
        <w:fldChar w:fldCharType="begin"/>
      </w:r>
      <w:r>
        <w:rPr>
          <w:bCs/>
          <w:lang w:val="en-GB"/>
        </w:rPr>
        <w:instrText xml:space="preserve"> NOTEREF _Ref520139260 \h  \* MERGEFORMAT </w:instrText>
      </w:r>
      <w:r>
        <w:rPr>
          <w:bCs/>
          <w:lang w:val="en-GB"/>
        </w:rPr>
      </w:r>
      <w:r>
        <w:rPr>
          <w:bCs/>
          <w:lang w:val="en-GB"/>
        </w:rPr>
        <w:fldChar w:fldCharType="separate"/>
      </w:r>
      <w:r w:rsidR="00F97B66">
        <w:rPr>
          <w:bCs/>
          <w:lang w:val="en-GB"/>
        </w:rPr>
        <w:t>10</w:t>
      </w:r>
      <w:r>
        <w:rPr>
          <w:bCs/>
          <w:lang w:val="en-GB"/>
        </w:rPr>
        <w:fldChar w:fldCharType="end"/>
      </w:r>
      <w:r>
        <w:rPr>
          <w:bCs/>
          <w:lang w:val="en-GB"/>
        </w:rPr>
        <w:t xml:space="preserve"> above) at</w:t>
      </w:r>
      <w:r w:rsidRPr="003D19A2">
        <w:rPr>
          <w:bCs/>
          <w:lang w:val="en-GB"/>
        </w:rPr>
        <w:t xml:space="preserve"> 881; </w:t>
      </w:r>
      <w:r w:rsidRPr="003D19A2">
        <w:rPr>
          <w:lang w:val="en-GB"/>
        </w:rPr>
        <w:t xml:space="preserve">Barnard </w:t>
      </w:r>
      <w:r>
        <w:rPr>
          <w:iCs/>
          <w:lang w:val="en-GB"/>
        </w:rPr>
        <w:t>(note </w:t>
      </w:r>
      <w:r>
        <w:rPr>
          <w:iCs/>
          <w:lang w:val="en-GB"/>
        </w:rPr>
        <w:fldChar w:fldCharType="begin"/>
      </w:r>
      <w:r>
        <w:rPr>
          <w:iCs/>
          <w:lang w:val="en-GB"/>
        </w:rPr>
        <w:instrText xml:space="preserve"> NOTEREF _Ref520141027 \h  \* MERGEFORMAT </w:instrText>
      </w:r>
      <w:r>
        <w:rPr>
          <w:iCs/>
          <w:lang w:val="en-GB"/>
        </w:rPr>
      </w:r>
      <w:r>
        <w:rPr>
          <w:iCs/>
          <w:lang w:val="en-GB"/>
        </w:rPr>
        <w:fldChar w:fldCharType="separate"/>
      </w:r>
      <w:r w:rsidR="00F97B66">
        <w:rPr>
          <w:iCs/>
          <w:lang w:val="en-GB"/>
        </w:rPr>
        <w:t>16</w:t>
      </w:r>
      <w:r>
        <w:rPr>
          <w:iCs/>
          <w:lang w:val="en-GB"/>
        </w:rPr>
        <w:fldChar w:fldCharType="end"/>
      </w:r>
      <w:r>
        <w:rPr>
          <w:iCs/>
          <w:lang w:val="en-GB"/>
        </w:rPr>
        <w:t xml:space="preserve"> above) at</w:t>
      </w:r>
      <w:r w:rsidRPr="003D19A2">
        <w:rPr>
          <w:lang w:val="en-GB"/>
        </w:rPr>
        <w:t xml:space="preserve"> 231-232; </w:t>
      </w:r>
      <w:r w:rsidRPr="003D19A2">
        <w:rPr>
          <w:bCs/>
          <w:lang w:val="en-GB"/>
        </w:rPr>
        <w:t xml:space="preserve">Lubbe </w:t>
      </w:r>
      <w:r>
        <w:rPr>
          <w:bCs/>
          <w:lang w:val="en-GB"/>
        </w:rPr>
        <w:t>(note </w:t>
      </w:r>
      <w:r>
        <w:rPr>
          <w:bCs/>
          <w:lang w:val="en-GB"/>
        </w:rPr>
        <w:fldChar w:fldCharType="begin"/>
      </w:r>
      <w:r>
        <w:rPr>
          <w:bCs/>
          <w:lang w:val="en-GB"/>
        </w:rPr>
        <w:instrText xml:space="preserve"> NOTEREF _Ref520139260 \h  \* MERGEFORMAT </w:instrText>
      </w:r>
      <w:r>
        <w:rPr>
          <w:bCs/>
          <w:lang w:val="en-GB"/>
        </w:rPr>
      </w:r>
      <w:r>
        <w:rPr>
          <w:bCs/>
          <w:lang w:val="en-GB"/>
        </w:rPr>
        <w:fldChar w:fldCharType="separate"/>
      </w:r>
      <w:r w:rsidR="00F97B66">
        <w:rPr>
          <w:bCs/>
          <w:lang w:val="en-GB"/>
        </w:rPr>
        <w:t>10</w:t>
      </w:r>
      <w:r>
        <w:rPr>
          <w:bCs/>
          <w:lang w:val="en-GB"/>
        </w:rPr>
        <w:fldChar w:fldCharType="end"/>
      </w:r>
      <w:r>
        <w:rPr>
          <w:bCs/>
          <w:lang w:val="en-GB"/>
        </w:rPr>
        <w:t xml:space="preserve"> above) at</w:t>
      </w:r>
      <w:r w:rsidRPr="003D19A2">
        <w:rPr>
          <w:bCs/>
          <w:lang w:val="en-GB"/>
        </w:rPr>
        <w:t xml:space="preserve"> 421.</w:t>
      </w:r>
    </w:p>
  </w:footnote>
  <w:footnote w:id="27">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sidRPr="003D19A2">
        <w:rPr>
          <w:bCs/>
          <w:lang w:val="en-GB"/>
        </w:rPr>
        <w:t xml:space="preserve">Brownsword </w:t>
      </w:r>
      <w:r>
        <w:rPr>
          <w:bCs/>
          <w:lang w:val="en-GB"/>
        </w:rPr>
        <w:t xml:space="preserve">(note </w:t>
      </w:r>
      <w:r>
        <w:rPr>
          <w:bCs/>
          <w:lang w:val="en-GB"/>
        </w:rPr>
        <w:fldChar w:fldCharType="begin"/>
      </w:r>
      <w:r>
        <w:rPr>
          <w:bCs/>
          <w:lang w:val="en-GB"/>
        </w:rPr>
        <w:instrText xml:space="preserve"> NOTEREF _Ref473022004 \h  \* MERGEFORMAT </w:instrText>
      </w:r>
      <w:r>
        <w:rPr>
          <w:bCs/>
          <w:lang w:val="en-GB"/>
        </w:rPr>
      </w:r>
      <w:r>
        <w:rPr>
          <w:bCs/>
          <w:lang w:val="en-GB"/>
        </w:rPr>
        <w:fldChar w:fldCharType="separate"/>
      </w:r>
      <w:r w:rsidR="00F97B66">
        <w:rPr>
          <w:bCs/>
          <w:lang w:val="en-GB"/>
        </w:rPr>
        <w:t>11</w:t>
      </w:r>
      <w:r>
        <w:rPr>
          <w:bCs/>
          <w:lang w:val="en-GB"/>
        </w:rPr>
        <w:fldChar w:fldCharType="end"/>
      </w:r>
      <w:r>
        <w:rPr>
          <w:bCs/>
          <w:lang w:val="en-GB"/>
        </w:rPr>
        <w:t xml:space="preserve"> above) at</w:t>
      </w:r>
      <w:r w:rsidRPr="003D19A2">
        <w:rPr>
          <w:lang w:val="en-GB"/>
        </w:rPr>
        <w:t xml:space="preserve"> 184-185; Brownsword </w:t>
      </w:r>
      <w:r>
        <w:rPr>
          <w:lang w:val="en-GB"/>
        </w:rPr>
        <w:t>(note </w:t>
      </w:r>
      <w:r>
        <w:rPr>
          <w:lang w:val="en-GB"/>
        </w:rPr>
        <w:fldChar w:fldCharType="begin"/>
      </w:r>
      <w:r>
        <w:rPr>
          <w:lang w:val="en-GB"/>
        </w:rPr>
        <w:instrText xml:space="preserve"> NOTEREF _Ref520141524 \h  \* MERGEFORMAT </w:instrText>
      </w:r>
      <w:r>
        <w:rPr>
          <w:lang w:val="en-GB"/>
        </w:rPr>
      </w:r>
      <w:r>
        <w:rPr>
          <w:lang w:val="en-GB"/>
        </w:rPr>
        <w:fldChar w:fldCharType="separate"/>
      </w:r>
      <w:r w:rsidR="00F97B66">
        <w:rPr>
          <w:lang w:val="en-GB"/>
        </w:rPr>
        <w:t>24</w:t>
      </w:r>
      <w:r>
        <w:rPr>
          <w:lang w:val="en-GB"/>
        </w:rPr>
        <w:fldChar w:fldCharType="end"/>
      </w:r>
      <w:r>
        <w:rPr>
          <w:lang w:val="en-GB"/>
        </w:rPr>
        <w:t xml:space="preserve"> above) at</w:t>
      </w:r>
      <w:r w:rsidRPr="003D19A2">
        <w:rPr>
          <w:lang w:val="en-GB"/>
        </w:rPr>
        <w:t xml:space="preserve"> 298. See also Hawthorne </w:t>
      </w:r>
      <w:r>
        <w:rPr>
          <w:lang w:val="en-GB"/>
        </w:rPr>
        <w:t>(note </w:t>
      </w:r>
      <w:r>
        <w:rPr>
          <w:lang w:val="en-GB"/>
        </w:rPr>
        <w:fldChar w:fldCharType="begin"/>
      </w:r>
      <w:r>
        <w:rPr>
          <w:lang w:val="en-GB"/>
        </w:rPr>
        <w:instrText xml:space="preserve"> NOTEREF _Ref520139260 \h  \* MERGEFORMAT </w:instrText>
      </w:r>
      <w:r>
        <w:rPr>
          <w:lang w:val="en-GB"/>
        </w:rPr>
      </w:r>
      <w:r>
        <w:rPr>
          <w:lang w:val="en-GB"/>
        </w:rPr>
        <w:fldChar w:fldCharType="separate"/>
      </w:r>
      <w:r w:rsidR="00F97B66">
        <w:rPr>
          <w:lang w:val="en-GB"/>
        </w:rPr>
        <w:t>10</w:t>
      </w:r>
      <w:r>
        <w:rPr>
          <w:lang w:val="en-GB"/>
        </w:rPr>
        <w:fldChar w:fldCharType="end"/>
      </w:r>
      <w:r>
        <w:rPr>
          <w:lang w:val="en-GB"/>
        </w:rPr>
        <w:t xml:space="preserve"> above) at</w:t>
      </w:r>
      <w:r w:rsidRPr="003D19A2">
        <w:rPr>
          <w:lang w:val="en-GB"/>
        </w:rPr>
        <w:t xml:space="preserve"> </w:t>
      </w:r>
      <w:r>
        <w:rPr>
          <w:lang w:val="en-GB"/>
        </w:rPr>
        <w:t>para 4 2; Bhana (note </w:t>
      </w:r>
      <w:r>
        <w:rPr>
          <w:lang w:val="en-GB"/>
        </w:rPr>
        <w:fldChar w:fldCharType="begin"/>
      </w:r>
      <w:r>
        <w:rPr>
          <w:lang w:val="en-GB"/>
        </w:rPr>
        <w:instrText xml:space="preserve"> NOTEREF _Ref517438957 \h  \* MERGEFORMAT </w:instrText>
      </w:r>
      <w:r>
        <w:rPr>
          <w:lang w:val="en-GB"/>
        </w:rPr>
      </w:r>
      <w:r>
        <w:rPr>
          <w:lang w:val="en-GB"/>
        </w:rPr>
        <w:fldChar w:fldCharType="separate"/>
      </w:r>
      <w:r w:rsidR="00F97B66">
        <w:rPr>
          <w:lang w:val="en-GB"/>
        </w:rPr>
        <w:t>26</w:t>
      </w:r>
      <w:r>
        <w:rPr>
          <w:lang w:val="en-GB"/>
        </w:rPr>
        <w:fldChar w:fldCharType="end"/>
      </w:r>
      <w:r>
        <w:rPr>
          <w:lang w:val="en-GB"/>
        </w:rPr>
        <w:t xml:space="preserve"> above) at </w:t>
      </w:r>
      <w:r w:rsidRPr="003D19A2">
        <w:rPr>
          <w:lang w:val="en-GB"/>
        </w:rPr>
        <w:t xml:space="preserve">274; </w:t>
      </w:r>
      <w:r w:rsidRPr="003D19A2">
        <w:rPr>
          <w:bCs/>
          <w:lang w:val="en-GB"/>
        </w:rPr>
        <w:t xml:space="preserve">Bhana &amp; Pieterse </w:t>
      </w:r>
      <w:r>
        <w:rPr>
          <w:bCs/>
          <w:lang w:val="en-GB"/>
        </w:rPr>
        <w:t>(note </w:t>
      </w:r>
      <w:r>
        <w:rPr>
          <w:bCs/>
          <w:lang w:val="en-GB"/>
        </w:rPr>
        <w:fldChar w:fldCharType="begin"/>
      </w:r>
      <w:r>
        <w:rPr>
          <w:bCs/>
          <w:lang w:val="en-GB"/>
        </w:rPr>
        <w:instrText xml:space="preserve"> NOTEREF _Ref520139260 \h  \* MERGEFORMAT </w:instrText>
      </w:r>
      <w:r>
        <w:rPr>
          <w:bCs/>
          <w:lang w:val="en-GB"/>
        </w:rPr>
      </w:r>
      <w:r>
        <w:rPr>
          <w:bCs/>
          <w:lang w:val="en-GB"/>
        </w:rPr>
        <w:fldChar w:fldCharType="separate"/>
      </w:r>
      <w:r w:rsidR="00F97B66">
        <w:rPr>
          <w:bCs/>
          <w:lang w:val="en-GB"/>
        </w:rPr>
        <w:t>10</w:t>
      </w:r>
      <w:r>
        <w:rPr>
          <w:bCs/>
          <w:lang w:val="en-GB"/>
        </w:rPr>
        <w:fldChar w:fldCharType="end"/>
      </w:r>
      <w:r>
        <w:rPr>
          <w:bCs/>
          <w:lang w:val="en-GB"/>
        </w:rPr>
        <w:t xml:space="preserve"> above) at</w:t>
      </w:r>
      <w:r w:rsidRPr="003D19A2">
        <w:rPr>
          <w:bCs/>
          <w:lang w:val="en-GB"/>
        </w:rPr>
        <w:t xml:space="preserve"> 881; </w:t>
      </w:r>
      <w:r w:rsidRPr="003D19A2">
        <w:rPr>
          <w:lang w:val="en-GB"/>
        </w:rPr>
        <w:t xml:space="preserve">Barnard </w:t>
      </w:r>
      <w:r>
        <w:rPr>
          <w:iCs/>
          <w:lang w:val="en-GB"/>
        </w:rPr>
        <w:t>(note </w:t>
      </w:r>
      <w:r>
        <w:rPr>
          <w:iCs/>
          <w:lang w:val="en-GB"/>
        </w:rPr>
        <w:fldChar w:fldCharType="begin"/>
      </w:r>
      <w:r>
        <w:rPr>
          <w:iCs/>
          <w:lang w:val="en-GB"/>
        </w:rPr>
        <w:instrText xml:space="preserve"> NOTEREF _Ref520141027 \h  \* MERGEFORMAT </w:instrText>
      </w:r>
      <w:r>
        <w:rPr>
          <w:iCs/>
          <w:lang w:val="en-GB"/>
        </w:rPr>
      </w:r>
      <w:r>
        <w:rPr>
          <w:iCs/>
          <w:lang w:val="en-GB"/>
        </w:rPr>
        <w:fldChar w:fldCharType="separate"/>
      </w:r>
      <w:r w:rsidR="00F97B66">
        <w:rPr>
          <w:iCs/>
          <w:lang w:val="en-GB"/>
        </w:rPr>
        <w:t>16</w:t>
      </w:r>
      <w:r>
        <w:rPr>
          <w:iCs/>
          <w:lang w:val="en-GB"/>
        </w:rPr>
        <w:fldChar w:fldCharType="end"/>
      </w:r>
      <w:r>
        <w:rPr>
          <w:iCs/>
          <w:lang w:val="en-GB"/>
        </w:rPr>
        <w:t xml:space="preserve"> above) at</w:t>
      </w:r>
      <w:r w:rsidRPr="003D19A2">
        <w:rPr>
          <w:lang w:val="en-GB"/>
        </w:rPr>
        <w:t xml:space="preserve"> 232; </w:t>
      </w:r>
      <w:r w:rsidRPr="003D19A2">
        <w:rPr>
          <w:bCs/>
          <w:lang w:val="en-GB"/>
        </w:rPr>
        <w:t xml:space="preserve">Lubbe </w:t>
      </w:r>
      <w:r>
        <w:rPr>
          <w:bCs/>
          <w:lang w:val="en-GB"/>
        </w:rPr>
        <w:t>(note </w:t>
      </w:r>
      <w:r>
        <w:rPr>
          <w:bCs/>
          <w:lang w:val="en-GB"/>
        </w:rPr>
        <w:fldChar w:fldCharType="begin"/>
      </w:r>
      <w:r>
        <w:rPr>
          <w:bCs/>
          <w:lang w:val="en-GB"/>
        </w:rPr>
        <w:instrText xml:space="preserve"> NOTEREF _Ref520139260 \h  \* MERGEFORMAT </w:instrText>
      </w:r>
      <w:r>
        <w:rPr>
          <w:bCs/>
          <w:lang w:val="en-GB"/>
        </w:rPr>
      </w:r>
      <w:r>
        <w:rPr>
          <w:bCs/>
          <w:lang w:val="en-GB"/>
        </w:rPr>
        <w:fldChar w:fldCharType="separate"/>
      </w:r>
      <w:r w:rsidR="00F97B66">
        <w:rPr>
          <w:bCs/>
          <w:lang w:val="en-GB"/>
        </w:rPr>
        <w:t>10</w:t>
      </w:r>
      <w:r>
        <w:rPr>
          <w:bCs/>
          <w:lang w:val="en-GB"/>
        </w:rPr>
        <w:fldChar w:fldCharType="end"/>
      </w:r>
      <w:r>
        <w:rPr>
          <w:bCs/>
          <w:lang w:val="en-GB"/>
        </w:rPr>
        <w:t xml:space="preserve"> above) at</w:t>
      </w:r>
      <w:r w:rsidRPr="003D19A2">
        <w:rPr>
          <w:bCs/>
          <w:lang w:val="en-GB"/>
        </w:rPr>
        <w:t xml:space="preserve"> 421.</w:t>
      </w:r>
    </w:p>
  </w:footnote>
  <w:footnote w:id="28">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t xml:space="preserve">Brownsword </w:t>
      </w:r>
      <w:r>
        <w:rPr>
          <w:lang w:val="en-GB"/>
        </w:rPr>
        <w:t>(note </w:t>
      </w:r>
      <w:r>
        <w:rPr>
          <w:lang w:val="en-GB"/>
        </w:rPr>
        <w:fldChar w:fldCharType="begin"/>
      </w:r>
      <w:r>
        <w:rPr>
          <w:lang w:val="en-GB"/>
        </w:rPr>
        <w:instrText xml:space="preserve"> NOTEREF _Ref520141172 \h  \* MERGEFORMAT </w:instrText>
      </w:r>
      <w:r>
        <w:rPr>
          <w:lang w:val="en-GB"/>
        </w:rPr>
      </w:r>
      <w:r>
        <w:rPr>
          <w:lang w:val="en-GB"/>
        </w:rPr>
        <w:fldChar w:fldCharType="separate"/>
      </w:r>
      <w:r w:rsidR="00F97B66">
        <w:rPr>
          <w:lang w:val="en-GB"/>
        </w:rPr>
        <w:t>21</w:t>
      </w:r>
      <w:r>
        <w:rPr>
          <w:lang w:val="en-GB"/>
        </w:rPr>
        <w:fldChar w:fldCharType="end"/>
      </w:r>
      <w:r>
        <w:rPr>
          <w:lang w:val="en-GB"/>
        </w:rPr>
        <w:t xml:space="preserve"> above) at</w:t>
      </w:r>
      <w:r w:rsidRPr="003D19A2">
        <w:rPr>
          <w:iCs/>
          <w:lang w:val="en-GB"/>
        </w:rPr>
        <w:t xml:space="preserve"> 1.</w:t>
      </w:r>
    </w:p>
  </w:footnote>
  <w:footnote w:id="29">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t xml:space="preserve">Beyleveld &amp; Brownsword </w:t>
      </w:r>
      <w:r>
        <w:rPr>
          <w:iCs/>
          <w:lang w:val="en-GB"/>
        </w:rPr>
        <w:t>(note </w:t>
      </w:r>
      <w:r>
        <w:rPr>
          <w:iCs/>
          <w:lang w:val="en-GB"/>
        </w:rPr>
        <w:fldChar w:fldCharType="begin"/>
      </w:r>
      <w:r>
        <w:rPr>
          <w:iCs/>
          <w:lang w:val="en-GB"/>
        </w:rPr>
        <w:instrText xml:space="preserve"> NOTEREF _Ref520139007 \h  \* MERGEFORMAT </w:instrText>
      </w:r>
      <w:r>
        <w:rPr>
          <w:iCs/>
          <w:lang w:val="en-GB"/>
        </w:rPr>
      </w:r>
      <w:r>
        <w:rPr>
          <w:iCs/>
          <w:lang w:val="en-GB"/>
        </w:rPr>
        <w:fldChar w:fldCharType="separate"/>
      </w:r>
      <w:r w:rsidR="00F97B66">
        <w:rPr>
          <w:iCs/>
          <w:lang w:val="en-GB"/>
        </w:rPr>
        <w:t>8</w:t>
      </w:r>
      <w:r>
        <w:rPr>
          <w:iCs/>
          <w:lang w:val="en-GB"/>
        </w:rPr>
        <w:fldChar w:fldCharType="end"/>
      </w:r>
      <w:r>
        <w:rPr>
          <w:iCs/>
          <w:lang w:val="en-GB"/>
        </w:rPr>
        <w:t xml:space="preserve"> above) at</w:t>
      </w:r>
      <w:r w:rsidRPr="003D19A2">
        <w:rPr>
          <w:lang w:val="en-GB"/>
        </w:rPr>
        <w:t xml:space="preserve"> 36.</w:t>
      </w:r>
    </w:p>
  </w:footnote>
  <w:footnote w:id="30">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Pr>
          <w:lang w:val="en-GB"/>
        </w:rPr>
        <w:tab/>
        <w:t>Ibid at</w:t>
      </w:r>
      <w:r w:rsidRPr="003D19A2">
        <w:rPr>
          <w:lang w:val="en-GB"/>
        </w:rPr>
        <w:t xml:space="preserve"> 37. See also Brownsword </w:t>
      </w:r>
      <w:r>
        <w:rPr>
          <w:lang w:val="en-GB"/>
        </w:rPr>
        <w:t>(note </w:t>
      </w:r>
      <w:r>
        <w:rPr>
          <w:lang w:val="en-GB"/>
        </w:rPr>
        <w:fldChar w:fldCharType="begin"/>
      </w:r>
      <w:r>
        <w:rPr>
          <w:lang w:val="en-GB"/>
        </w:rPr>
        <w:instrText xml:space="preserve"> NOTEREF _Ref520141524 \h  \* MERGEFORMAT </w:instrText>
      </w:r>
      <w:r>
        <w:rPr>
          <w:lang w:val="en-GB"/>
        </w:rPr>
      </w:r>
      <w:r>
        <w:rPr>
          <w:lang w:val="en-GB"/>
        </w:rPr>
        <w:fldChar w:fldCharType="separate"/>
      </w:r>
      <w:r w:rsidR="00F97B66">
        <w:rPr>
          <w:lang w:val="en-GB"/>
        </w:rPr>
        <w:t>24</w:t>
      </w:r>
      <w:r>
        <w:rPr>
          <w:lang w:val="en-GB"/>
        </w:rPr>
        <w:fldChar w:fldCharType="end"/>
      </w:r>
      <w:r>
        <w:rPr>
          <w:lang w:val="en-GB"/>
        </w:rPr>
        <w:t xml:space="preserve"> above) at</w:t>
      </w:r>
      <w:r w:rsidRPr="003D19A2">
        <w:rPr>
          <w:lang w:val="en-GB"/>
        </w:rPr>
        <w:t xml:space="preserve"> 295; </w:t>
      </w:r>
      <w:r w:rsidRPr="003D19A2">
        <w:rPr>
          <w:bCs/>
          <w:lang w:val="en-GB"/>
        </w:rPr>
        <w:t xml:space="preserve">Beyleveld &amp; Brownsword </w:t>
      </w:r>
      <w:r>
        <w:rPr>
          <w:bCs/>
          <w:lang w:val="en-GB"/>
        </w:rPr>
        <w:t>(note </w:t>
      </w:r>
      <w:r>
        <w:rPr>
          <w:bCs/>
          <w:lang w:val="en-GB"/>
        </w:rPr>
        <w:fldChar w:fldCharType="begin"/>
      </w:r>
      <w:r>
        <w:rPr>
          <w:bCs/>
          <w:lang w:val="en-GB"/>
        </w:rPr>
        <w:instrText xml:space="preserve"> NOTEREF _Ref520140830 \h  \* MERGEFORMAT </w:instrText>
      </w:r>
      <w:r>
        <w:rPr>
          <w:bCs/>
          <w:lang w:val="en-GB"/>
        </w:rPr>
      </w:r>
      <w:r>
        <w:rPr>
          <w:bCs/>
          <w:lang w:val="en-GB"/>
        </w:rPr>
        <w:fldChar w:fldCharType="separate"/>
      </w:r>
      <w:r w:rsidR="00F97B66">
        <w:rPr>
          <w:bCs/>
          <w:lang w:val="en-GB"/>
        </w:rPr>
        <w:t>15</w:t>
      </w:r>
      <w:r>
        <w:rPr>
          <w:bCs/>
          <w:lang w:val="en-GB"/>
        </w:rPr>
        <w:fldChar w:fldCharType="end"/>
      </w:r>
      <w:r>
        <w:rPr>
          <w:bCs/>
          <w:lang w:val="en-GB"/>
        </w:rPr>
        <w:t xml:space="preserve"> above) at</w:t>
      </w:r>
      <w:r w:rsidRPr="003D19A2">
        <w:rPr>
          <w:bCs/>
          <w:lang w:val="en-GB"/>
        </w:rPr>
        <w:t xml:space="preserve"> 667-668 on the duty not to compromise the dignity of others.</w:t>
      </w:r>
    </w:p>
  </w:footnote>
  <w:footnote w:id="31">
    <w:p w:rsidR="00B613DB" w:rsidRDefault="00B613DB" w:rsidP="002F6072">
      <w:pPr>
        <w:pStyle w:val="FootnoteText"/>
      </w:pPr>
      <w:r>
        <w:rPr>
          <w:rStyle w:val="FootnoteReference"/>
        </w:rPr>
        <w:footnoteRef/>
      </w:r>
      <w:r>
        <w:t xml:space="preserve"> </w:t>
      </w:r>
      <w:r>
        <w:tab/>
      </w:r>
      <w:r>
        <w:rPr>
          <w:lang w:val="en-GB"/>
        </w:rPr>
        <w:t xml:space="preserve">I Kant </w:t>
      </w:r>
      <w:r w:rsidRPr="001D2FDA">
        <w:rPr>
          <w:i/>
          <w:lang w:val="en-GB"/>
        </w:rPr>
        <w:t>Die Metaphysik der Sitten</w:t>
      </w:r>
      <w:r>
        <w:rPr>
          <w:lang w:val="en-GB"/>
        </w:rPr>
        <w:t xml:space="preserve"> (1797) (trans M Gregor, 1996) </w:t>
      </w:r>
      <w:r w:rsidRPr="003D19A2">
        <w:rPr>
          <w:lang w:val="en-GB"/>
        </w:rPr>
        <w:t>209.</w:t>
      </w:r>
      <w:r>
        <w:rPr>
          <w:lang w:val="en-GB"/>
        </w:rPr>
        <w:t xml:space="preserve"> See further </w:t>
      </w:r>
      <w:r w:rsidRPr="003D19A2">
        <w:rPr>
          <w:bCs/>
          <w:lang w:val="en-GB"/>
        </w:rPr>
        <w:t xml:space="preserve">Lubbe </w:t>
      </w:r>
      <w:r>
        <w:rPr>
          <w:bCs/>
          <w:lang w:val="en-GB"/>
        </w:rPr>
        <w:t>(note </w:t>
      </w:r>
      <w:r>
        <w:rPr>
          <w:bCs/>
          <w:lang w:val="en-GB"/>
        </w:rPr>
        <w:fldChar w:fldCharType="begin"/>
      </w:r>
      <w:r>
        <w:rPr>
          <w:bCs/>
          <w:lang w:val="en-GB"/>
        </w:rPr>
        <w:instrText xml:space="preserve"> NOTEREF _Ref520139260 \h  \* MERGEFORMAT </w:instrText>
      </w:r>
      <w:r>
        <w:rPr>
          <w:bCs/>
          <w:lang w:val="en-GB"/>
        </w:rPr>
      </w:r>
      <w:r>
        <w:rPr>
          <w:bCs/>
          <w:lang w:val="en-GB"/>
        </w:rPr>
        <w:fldChar w:fldCharType="separate"/>
      </w:r>
      <w:r w:rsidR="00F97B66">
        <w:rPr>
          <w:bCs/>
          <w:lang w:val="en-GB"/>
        </w:rPr>
        <w:t>10</w:t>
      </w:r>
      <w:r>
        <w:rPr>
          <w:bCs/>
          <w:lang w:val="en-GB"/>
        </w:rPr>
        <w:fldChar w:fldCharType="end"/>
      </w:r>
      <w:r>
        <w:rPr>
          <w:bCs/>
          <w:lang w:val="en-GB"/>
        </w:rPr>
        <w:t xml:space="preserve"> above) at</w:t>
      </w:r>
      <w:r w:rsidRPr="003D19A2">
        <w:rPr>
          <w:bCs/>
          <w:lang w:val="en-GB"/>
        </w:rPr>
        <w:t xml:space="preserve"> 421-422</w:t>
      </w:r>
      <w:r>
        <w:rPr>
          <w:bCs/>
          <w:lang w:val="en-GB"/>
        </w:rPr>
        <w:t xml:space="preserve"> &amp; AJ Barnard-Naude ‘”Oh what a tangled web we weave…”</w:t>
      </w:r>
      <w:r w:rsidRPr="001D2FDA">
        <w:rPr>
          <w:bCs/>
          <w:lang w:val="en-GB"/>
        </w:rPr>
        <w:t xml:space="preserve"> Hegemony, freedom of contract, good faith and transformation – towards a politics of friendship in the politics of contract</w:t>
      </w:r>
      <w:r>
        <w:rPr>
          <w:bCs/>
          <w:lang w:val="en-GB"/>
        </w:rPr>
        <w:t>’</w:t>
      </w:r>
      <w:r w:rsidRPr="001D2FDA">
        <w:rPr>
          <w:bCs/>
          <w:lang w:val="en-GB"/>
        </w:rPr>
        <w:t xml:space="preserve"> </w:t>
      </w:r>
      <w:r>
        <w:rPr>
          <w:bCs/>
          <w:lang w:val="en-GB"/>
        </w:rPr>
        <w:t>(</w:t>
      </w:r>
      <w:r w:rsidRPr="001D2FDA">
        <w:rPr>
          <w:bCs/>
          <w:lang w:val="en-GB"/>
        </w:rPr>
        <w:t>2008</w:t>
      </w:r>
      <w:r>
        <w:rPr>
          <w:bCs/>
          <w:lang w:val="en-GB"/>
        </w:rPr>
        <w:t>)</w:t>
      </w:r>
      <w:r w:rsidRPr="001D2FDA">
        <w:rPr>
          <w:bCs/>
          <w:lang w:val="en-GB"/>
        </w:rPr>
        <w:t xml:space="preserve"> 1 </w:t>
      </w:r>
      <w:r w:rsidRPr="001D2FDA">
        <w:rPr>
          <w:bCs/>
          <w:i/>
          <w:iCs/>
          <w:lang w:val="en-GB"/>
        </w:rPr>
        <w:t>Constitutional Court Review</w:t>
      </w:r>
      <w:r w:rsidRPr="001D2FDA">
        <w:rPr>
          <w:bCs/>
          <w:lang w:val="en-GB"/>
        </w:rPr>
        <w:t xml:space="preserve"> 155</w:t>
      </w:r>
      <w:r>
        <w:rPr>
          <w:bCs/>
          <w:lang w:val="en-GB"/>
        </w:rPr>
        <w:t xml:space="preserve">, </w:t>
      </w:r>
      <w:r w:rsidRPr="003D19A2">
        <w:rPr>
          <w:bCs/>
          <w:lang w:val="en-GB"/>
        </w:rPr>
        <w:t>206</w:t>
      </w:r>
      <w:r>
        <w:rPr>
          <w:bCs/>
          <w:lang w:val="en-GB"/>
        </w:rPr>
        <w:t>.</w:t>
      </w:r>
    </w:p>
  </w:footnote>
  <w:footnote w:id="32">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t xml:space="preserve">Beyleveld &amp; Brownsword </w:t>
      </w:r>
      <w:r>
        <w:rPr>
          <w:iCs/>
          <w:lang w:val="en-GB"/>
        </w:rPr>
        <w:t>(note </w:t>
      </w:r>
      <w:r>
        <w:rPr>
          <w:iCs/>
          <w:lang w:val="en-GB"/>
        </w:rPr>
        <w:fldChar w:fldCharType="begin"/>
      </w:r>
      <w:r>
        <w:rPr>
          <w:iCs/>
          <w:lang w:val="en-GB"/>
        </w:rPr>
        <w:instrText xml:space="preserve"> NOTEREF _Ref520139007 \h  \* MERGEFORMAT </w:instrText>
      </w:r>
      <w:r>
        <w:rPr>
          <w:iCs/>
          <w:lang w:val="en-GB"/>
        </w:rPr>
      </w:r>
      <w:r>
        <w:rPr>
          <w:iCs/>
          <w:lang w:val="en-GB"/>
        </w:rPr>
        <w:fldChar w:fldCharType="separate"/>
      </w:r>
      <w:r w:rsidR="00F97B66">
        <w:rPr>
          <w:iCs/>
          <w:lang w:val="en-GB"/>
        </w:rPr>
        <w:t>8</w:t>
      </w:r>
      <w:r>
        <w:rPr>
          <w:iCs/>
          <w:lang w:val="en-GB"/>
        </w:rPr>
        <w:fldChar w:fldCharType="end"/>
      </w:r>
      <w:r>
        <w:rPr>
          <w:iCs/>
          <w:lang w:val="en-GB"/>
        </w:rPr>
        <w:t xml:space="preserve"> above) at</w:t>
      </w:r>
      <w:r w:rsidRPr="003D19A2">
        <w:rPr>
          <w:lang w:val="en-GB"/>
        </w:rPr>
        <w:t xml:space="preserve"> 37.</w:t>
      </w:r>
    </w:p>
  </w:footnote>
  <w:footnote w:id="33">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Pr>
          <w:lang w:val="en-GB"/>
        </w:rPr>
        <w:t>Ibid at</w:t>
      </w:r>
      <w:r w:rsidRPr="003D19A2">
        <w:rPr>
          <w:lang w:val="en-GB"/>
        </w:rPr>
        <w:t xml:space="preserve"> 41-42.</w:t>
      </w:r>
    </w:p>
  </w:footnote>
  <w:footnote w:id="34">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Pr>
          <w:lang w:val="en-GB"/>
        </w:rPr>
        <w:t xml:space="preserve">A </w:t>
      </w:r>
      <w:r w:rsidRPr="003D19A2">
        <w:rPr>
          <w:lang w:val="en-GB"/>
        </w:rPr>
        <w:t xml:space="preserve">Clapham </w:t>
      </w:r>
      <w:r w:rsidRPr="003D19A2">
        <w:rPr>
          <w:i/>
          <w:iCs/>
          <w:lang w:val="en-GB"/>
        </w:rPr>
        <w:t>Human rights in the private sphere</w:t>
      </w:r>
      <w:r w:rsidRPr="003D19A2">
        <w:rPr>
          <w:lang w:val="en-GB"/>
        </w:rPr>
        <w:t xml:space="preserve"> (1993) 148. See also Brownsword </w:t>
      </w:r>
      <w:r>
        <w:rPr>
          <w:lang w:val="en-GB"/>
        </w:rPr>
        <w:t>(note </w:t>
      </w:r>
      <w:r>
        <w:rPr>
          <w:lang w:val="en-GB"/>
        </w:rPr>
        <w:fldChar w:fldCharType="begin"/>
      </w:r>
      <w:r>
        <w:rPr>
          <w:lang w:val="en-GB"/>
        </w:rPr>
        <w:instrText xml:space="preserve"> NOTEREF _Ref520141172 \h  \* MERGEFORMAT </w:instrText>
      </w:r>
      <w:r>
        <w:rPr>
          <w:lang w:val="en-GB"/>
        </w:rPr>
      </w:r>
      <w:r>
        <w:rPr>
          <w:lang w:val="en-GB"/>
        </w:rPr>
        <w:fldChar w:fldCharType="separate"/>
      </w:r>
      <w:r w:rsidR="00F97B66">
        <w:rPr>
          <w:lang w:val="en-GB"/>
        </w:rPr>
        <w:t>21</w:t>
      </w:r>
      <w:r>
        <w:rPr>
          <w:lang w:val="en-GB"/>
        </w:rPr>
        <w:fldChar w:fldCharType="end"/>
      </w:r>
      <w:r>
        <w:rPr>
          <w:lang w:val="en-GB"/>
        </w:rPr>
        <w:t xml:space="preserve"> above) at</w:t>
      </w:r>
      <w:r w:rsidRPr="003D19A2">
        <w:rPr>
          <w:iCs/>
          <w:lang w:val="en-GB"/>
        </w:rPr>
        <w:t xml:space="preserve"> 4. </w:t>
      </w:r>
    </w:p>
  </w:footnote>
  <w:footnote w:id="35">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t xml:space="preserve">See also Botha </w:t>
      </w:r>
      <w:r>
        <w:rPr>
          <w:lang w:val="en-GB"/>
        </w:rPr>
        <w:t>(note </w:t>
      </w:r>
      <w:r>
        <w:rPr>
          <w:lang w:val="en-GB"/>
        </w:rPr>
        <w:fldChar w:fldCharType="begin"/>
      </w:r>
      <w:r>
        <w:rPr>
          <w:lang w:val="en-GB"/>
        </w:rPr>
        <w:instrText xml:space="preserve"> NOTEREF _Ref520141370 \h  \* MERGEFORMAT </w:instrText>
      </w:r>
      <w:r>
        <w:rPr>
          <w:lang w:val="en-GB"/>
        </w:rPr>
      </w:r>
      <w:r>
        <w:rPr>
          <w:lang w:val="en-GB"/>
        </w:rPr>
        <w:fldChar w:fldCharType="separate"/>
      </w:r>
      <w:r w:rsidR="00F97B66">
        <w:rPr>
          <w:lang w:val="en-GB"/>
        </w:rPr>
        <w:t>22</w:t>
      </w:r>
      <w:r>
        <w:rPr>
          <w:lang w:val="en-GB"/>
        </w:rPr>
        <w:fldChar w:fldCharType="end"/>
      </w:r>
      <w:r>
        <w:rPr>
          <w:lang w:val="en-GB"/>
        </w:rPr>
        <w:t xml:space="preserve"> above) at</w:t>
      </w:r>
      <w:r w:rsidRPr="003D19A2">
        <w:rPr>
          <w:lang w:val="en-GB"/>
        </w:rPr>
        <w:t xml:space="preserve"> 174.</w:t>
      </w:r>
    </w:p>
  </w:footnote>
  <w:footnote w:id="36">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t>Cf the discussion in the text at n </w:t>
      </w:r>
      <w:r w:rsidRPr="003D19A2">
        <w:rPr>
          <w:lang w:val="en-GB"/>
        </w:rPr>
        <w:fldChar w:fldCharType="begin"/>
      </w:r>
      <w:r w:rsidRPr="003D19A2">
        <w:rPr>
          <w:lang w:val="en-GB"/>
        </w:rPr>
        <w:instrText xml:space="preserve"> NOTEREF _Ref480361117 \h </w:instrText>
      </w:r>
      <w:r>
        <w:rPr>
          <w:lang w:val="en-GB"/>
        </w:rPr>
        <w:instrText xml:space="preserve"> \* MERGEFORMAT </w:instrText>
      </w:r>
      <w:r w:rsidRPr="003D19A2">
        <w:rPr>
          <w:lang w:val="en-GB"/>
        </w:rPr>
      </w:r>
      <w:r w:rsidRPr="003D19A2">
        <w:rPr>
          <w:lang w:val="en-GB"/>
        </w:rPr>
        <w:fldChar w:fldCharType="separate"/>
      </w:r>
      <w:r w:rsidR="00F97B66">
        <w:rPr>
          <w:lang w:val="en-GB"/>
        </w:rPr>
        <w:t>23</w:t>
      </w:r>
      <w:r w:rsidRPr="003D19A2">
        <w:rPr>
          <w:lang w:val="en-GB"/>
        </w:rPr>
        <w:fldChar w:fldCharType="end"/>
      </w:r>
      <w:r w:rsidRPr="003D19A2">
        <w:rPr>
          <w:lang w:val="en-GB"/>
        </w:rPr>
        <w:t xml:space="preserve"> </w:t>
      </w:r>
      <w:r w:rsidRPr="00BA014C">
        <w:rPr>
          <w:iCs/>
          <w:lang w:val="en-GB"/>
        </w:rPr>
        <w:t>above</w:t>
      </w:r>
      <w:r w:rsidRPr="003D19A2">
        <w:rPr>
          <w:lang w:val="en-GB"/>
        </w:rPr>
        <w:t>.</w:t>
      </w:r>
    </w:p>
  </w:footnote>
  <w:footnote w:id="37">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t xml:space="preserve">Brownsword </w:t>
      </w:r>
      <w:r>
        <w:rPr>
          <w:lang w:val="en-GB"/>
        </w:rPr>
        <w:t>(note </w:t>
      </w:r>
      <w:r>
        <w:rPr>
          <w:lang w:val="en-GB"/>
        </w:rPr>
        <w:fldChar w:fldCharType="begin"/>
      </w:r>
      <w:r>
        <w:rPr>
          <w:lang w:val="en-GB"/>
        </w:rPr>
        <w:instrText xml:space="preserve"> NOTEREF _Ref520141524 \h  \* MERGEFORMAT </w:instrText>
      </w:r>
      <w:r>
        <w:rPr>
          <w:lang w:val="en-GB"/>
        </w:rPr>
      </w:r>
      <w:r>
        <w:rPr>
          <w:lang w:val="en-GB"/>
        </w:rPr>
        <w:fldChar w:fldCharType="separate"/>
      </w:r>
      <w:r w:rsidR="00F97B66">
        <w:rPr>
          <w:lang w:val="en-GB"/>
        </w:rPr>
        <w:t>24</w:t>
      </w:r>
      <w:r>
        <w:rPr>
          <w:lang w:val="en-GB"/>
        </w:rPr>
        <w:fldChar w:fldCharType="end"/>
      </w:r>
      <w:r>
        <w:rPr>
          <w:lang w:val="en-GB"/>
        </w:rPr>
        <w:t xml:space="preserve"> above) at</w:t>
      </w:r>
      <w:r w:rsidRPr="003D19A2">
        <w:rPr>
          <w:lang w:val="en-GB"/>
        </w:rPr>
        <w:t xml:space="preserve"> 297-298.</w:t>
      </w:r>
    </w:p>
  </w:footnote>
  <w:footnote w:id="38">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t xml:space="preserve">Beyleveld &amp; Brownsword </w:t>
      </w:r>
      <w:r>
        <w:rPr>
          <w:iCs/>
          <w:lang w:val="en-GB"/>
        </w:rPr>
        <w:t>(note </w:t>
      </w:r>
      <w:r>
        <w:rPr>
          <w:iCs/>
          <w:lang w:val="en-GB"/>
        </w:rPr>
        <w:fldChar w:fldCharType="begin"/>
      </w:r>
      <w:r>
        <w:rPr>
          <w:iCs/>
          <w:lang w:val="en-GB"/>
        </w:rPr>
        <w:instrText xml:space="preserve"> NOTEREF _Ref520139007 \h  \* MERGEFORMAT </w:instrText>
      </w:r>
      <w:r>
        <w:rPr>
          <w:iCs/>
          <w:lang w:val="en-GB"/>
        </w:rPr>
      </w:r>
      <w:r>
        <w:rPr>
          <w:iCs/>
          <w:lang w:val="en-GB"/>
        </w:rPr>
        <w:fldChar w:fldCharType="separate"/>
      </w:r>
      <w:r w:rsidR="00F97B66">
        <w:rPr>
          <w:iCs/>
          <w:lang w:val="en-GB"/>
        </w:rPr>
        <w:t>8</w:t>
      </w:r>
      <w:r>
        <w:rPr>
          <w:iCs/>
          <w:lang w:val="en-GB"/>
        </w:rPr>
        <w:fldChar w:fldCharType="end"/>
      </w:r>
      <w:r>
        <w:rPr>
          <w:iCs/>
          <w:lang w:val="en-GB"/>
        </w:rPr>
        <w:t xml:space="preserve"> above) at</w:t>
      </w:r>
      <w:r w:rsidRPr="003D19A2">
        <w:rPr>
          <w:lang w:val="en-GB"/>
        </w:rPr>
        <w:t xml:space="preserve"> 11 &amp; 31 esp n 4. See also </w:t>
      </w:r>
      <w:r w:rsidRPr="003D19A2">
        <w:rPr>
          <w:bCs/>
          <w:lang w:val="en-GB"/>
        </w:rPr>
        <w:t xml:space="preserve">Brownsword </w:t>
      </w:r>
      <w:r>
        <w:rPr>
          <w:bCs/>
          <w:lang w:val="en-GB"/>
        </w:rPr>
        <w:t xml:space="preserve">(note </w:t>
      </w:r>
      <w:r>
        <w:rPr>
          <w:bCs/>
          <w:lang w:val="en-GB"/>
        </w:rPr>
        <w:fldChar w:fldCharType="begin"/>
      </w:r>
      <w:r>
        <w:rPr>
          <w:bCs/>
          <w:lang w:val="en-GB"/>
        </w:rPr>
        <w:instrText xml:space="preserve"> NOTEREF _Ref473022004 \h  \* MERGEFORMAT </w:instrText>
      </w:r>
      <w:r>
        <w:rPr>
          <w:bCs/>
          <w:lang w:val="en-GB"/>
        </w:rPr>
      </w:r>
      <w:r>
        <w:rPr>
          <w:bCs/>
          <w:lang w:val="en-GB"/>
        </w:rPr>
        <w:fldChar w:fldCharType="separate"/>
      </w:r>
      <w:r w:rsidR="00F97B66">
        <w:rPr>
          <w:bCs/>
          <w:lang w:val="en-GB"/>
        </w:rPr>
        <w:t>11</w:t>
      </w:r>
      <w:r>
        <w:rPr>
          <w:bCs/>
          <w:lang w:val="en-GB"/>
        </w:rPr>
        <w:fldChar w:fldCharType="end"/>
      </w:r>
      <w:r>
        <w:rPr>
          <w:bCs/>
          <w:lang w:val="en-GB"/>
        </w:rPr>
        <w:t xml:space="preserve"> above) at</w:t>
      </w:r>
      <w:r w:rsidRPr="003D19A2">
        <w:rPr>
          <w:lang w:val="en-GB"/>
        </w:rPr>
        <w:t xml:space="preserve"> 194-195; Feldman </w:t>
      </w:r>
      <w:r>
        <w:rPr>
          <w:bCs/>
          <w:lang w:val="en-GB"/>
        </w:rPr>
        <w:t>(note </w:t>
      </w:r>
      <w:r>
        <w:rPr>
          <w:bCs/>
          <w:lang w:val="en-GB"/>
        </w:rPr>
        <w:fldChar w:fldCharType="begin"/>
      </w:r>
      <w:r>
        <w:rPr>
          <w:bCs/>
          <w:lang w:val="en-GB"/>
        </w:rPr>
        <w:instrText xml:space="preserve"> NOTEREF _Ref520139260 \h  \* MERGEFORMAT </w:instrText>
      </w:r>
      <w:r>
        <w:rPr>
          <w:bCs/>
          <w:lang w:val="en-GB"/>
        </w:rPr>
      </w:r>
      <w:r>
        <w:rPr>
          <w:bCs/>
          <w:lang w:val="en-GB"/>
        </w:rPr>
        <w:fldChar w:fldCharType="separate"/>
      </w:r>
      <w:r w:rsidR="00F97B66">
        <w:rPr>
          <w:bCs/>
          <w:lang w:val="en-GB"/>
        </w:rPr>
        <w:t>10</w:t>
      </w:r>
      <w:r>
        <w:rPr>
          <w:bCs/>
          <w:lang w:val="en-GB"/>
        </w:rPr>
        <w:fldChar w:fldCharType="end"/>
      </w:r>
      <w:r>
        <w:rPr>
          <w:bCs/>
          <w:lang w:val="en-GB"/>
        </w:rPr>
        <w:t xml:space="preserve"> above) at</w:t>
      </w:r>
      <w:r w:rsidRPr="003D19A2">
        <w:rPr>
          <w:lang w:val="en-GB"/>
        </w:rPr>
        <w:t xml:space="preserve"> 700.</w:t>
      </w:r>
    </w:p>
  </w:footnote>
  <w:footnote w:id="39">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Pr>
          <w:bCs/>
          <w:lang w:val="en-GB"/>
        </w:rPr>
        <w:t xml:space="preserve">Brownsword (note </w:t>
      </w:r>
      <w:r>
        <w:rPr>
          <w:bCs/>
          <w:lang w:val="en-GB"/>
        </w:rPr>
        <w:fldChar w:fldCharType="begin"/>
      </w:r>
      <w:r>
        <w:rPr>
          <w:bCs/>
          <w:lang w:val="en-GB"/>
        </w:rPr>
        <w:instrText xml:space="preserve"> NOTEREF _Ref473022004 \h  \* MERGEFORMAT </w:instrText>
      </w:r>
      <w:r>
        <w:rPr>
          <w:bCs/>
          <w:lang w:val="en-GB"/>
        </w:rPr>
      </w:r>
      <w:r>
        <w:rPr>
          <w:bCs/>
          <w:lang w:val="en-GB"/>
        </w:rPr>
        <w:fldChar w:fldCharType="separate"/>
      </w:r>
      <w:r w:rsidR="00F97B66">
        <w:rPr>
          <w:bCs/>
          <w:lang w:val="en-GB"/>
        </w:rPr>
        <w:t>11</w:t>
      </w:r>
      <w:r>
        <w:rPr>
          <w:bCs/>
          <w:lang w:val="en-GB"/>
        </w:rPr>
        <w:fldChar w:fldCharType="end"/>
      </w:r>
      <w:r>
        <w:rPr>
          <w:bCs/>
          <w:lang w:val="en-GB"/>
        </w:rPr>
        <w:t xml:space="preserve"> above) at</w:t>
      </w:r>
      <w:r w:rsidRPr="003D19A2">
        <w:rPr>
          <w:lang w:val="en-GB"/>
        </w:rPr>
        <w:t xml:space="preserve"> 194. See also Hawthorne </w:t>
      </w:r>
      <w:r>
        <w:rPr>
          <w:lang w:val="en-GB"/>
        </w:rPr>
        <w:t>(note </w:t>
      </w:r>
      <w:r>
        <w:rPr>
          <w:lang w:val="en-GB"/>
        </w:rPr>
        <w:fldChar w:fldCharType="begin"/>
      </w:r>
      <w:r>
        <w:rPr>
          <w:lang w:val="en-GB"/>
        </w:rPr>
        <w:instrText xml:space="preserve"> NOTEREF _Ref520139260 \h  \* MERGEFORMAT </w:instrText>
      </w:r>
      <w:r>
        <w:rPr>
          <w:lang w:val="en-GB"/>
        </w:rPr>
      </w:r>
      <w:r>
        <w:rPr>
          <w:lang w:val="en-GB"/>
        </w:rPr>
        <w:fldChar w:fldCharType="separate"/>
      </w:r>
      <w:r w:rsidR="00F97B66">
        <w:rPr>
          <w:lang w:val="en-GB"/>
        </w:rPr>
        <w:t>10</w:t>
      </w:r>
      <w:r>
        <w:rPr>
          <w:lang w:val="en-GB"/>
        </w:rPr>
        <w:fldChar w:fldCharType="end"/>
      </w:r>
      <w:r>
        <w:rPr>
          <w:lang w:val="en-GB"/>
        </w:rPr>
        <w:t xml:space="preserve"> above) at</w:t>
      </w:r>
      <w:r w:rsidRPr="003D19A2">
        <w:rPr>
          <w:lang w:val="en-GB"/>
        </w:rPr>
        <w:t xml:space="preserve"> para 4 2; Bhana </w:t>
      </w:r>
      <w:r>
        <w:rPr>
          <w:lang w:val="en-GB"/>
        </w:rPr>
        <w:t>(note </w:t>
      </w:r>
      <w:r>
        <w:rPr>
          <w:lang w:val="en-GB"/>
        </w:rPr>
        <w:fldChar w:fldCharType="begin"/>
      </w:r>
      <w:r>
        <w:rPr>
          <w:lang w:val="en-GB"/>
        </w:rPr>
        <w:instrText xml:space="preserve"> NOTEREF _Ref517438957 \h  \* MERGEFORMAT </w:instrText>
      </w:r>
      <w:r>
        <w:rPr>
          <w:lang w:val="en-GB"/>
        </w:rPr>
      </w:r>
      <w:r>
        <w:rPr>
          <w:lang w:val="en-GB"/>
        </w:rPr>
        <w:fldChar w:fldCharType="separate"/>
      </w:r>
      <w:r w:rsidR="00F97B66">
        <w:rPr>
          <w:lang w:val="en-GB"/>
        </w:rPr>
        <w:t>26</w:t>
      </w:r>
      <w:r>
        <w:rPr>
          <w:lang w:val="en-GB"/>
        </w:rPr>
        <w:fldChar w:fldCharType="end"/>
      </w:r>
      <w:r>
        <w:rPr>
          <w:lang w:val="en-GB"/>
        </w:rPr>
        <w:t xml:space="preserve"> above) at</w:t>
      </w:r>
      <w:r w:rsidRPr="003D19A2">
        <w:rPr>
          <w:lang w:val="en-GB"/>
        </w:rPr>
        <w:t xml:space="preserve"> 274; </w:t>
      </w:r>
      <w:r w:rsidRPr="003D19A2">
        <w:rPr>
          <w:bCs/>
          <w:lang w:val="en-GB"/>
        </w:rPr>
        <w:t xml:space="preserve">Bhana &amp; Pieterse </w:t>
      </w:r>
      <w:r>
        <w:rPr>
          <w:bCs/>
          <w:lang w:val="en-GB"/>
        </w:rPr>
        <w:t>(note </w:t>
      </w:r>
      <w:r>
        <w:rPr>
          <w:bCs/>
          <w:lang w:val="en-GB"/>
        </w:rPr>
        <w:fldChar w:fldCharType="begin"/>
      </w:r>
      <w:r>
        <w:rPr>
          <w:bCs/>
          <w:lang w:val="en-GB"/>
        </w:rPr>
        <w:instrText xml:space="preserve"> NOTEREF _Ref520139260 \h  \* MERGEFORMAT </w:instrText>
      </w:r>
      <w:r>
        <w:rPr>
          <w:bCs/>
          <w:lang w:val="en-GB"/>
        </w:rPr>
      </w:r>
      <w:r>
        <w:rPr>
          <w:bCs/>
          <w:lang w:val="en-GB"/>
        </w:rPr>
        <w:fldChar w:fldCharType="separate"/>
      </w:r>
      <w:r w:rsidR="00F97B66">
        <w:rPr>
          <w:bCs/>
          <w:lang w:val="en-GB"/>
        </w:rPr>
        <w:t>10</w:t>
      </w:r>
      <w:r>
        <w:rPr>
          <w:bCs/>
          <w:lang w:val="en-GB"/>
        </w:rPr>
        <w:fldChar w:fldCharType="end"/>
      </w:r>
      <w:r>
        <w:rPr>
          <w:bCs/>
          <w:lang w:val="en-GB"/>
        </w:rPr>
        <w:t xml:space="preserve"> above) at</w:t>
      </w:r>
      <w:r w:rsidRPr="003D19A2">
        <w:rPr>
          <w:bCs/>
          <w:lang w:val="en-GB"/>
        </w:rPr>
        <w:t xml:space="preserve"> 881; </w:t>
      </w:r>
      <w:r w:rsidRPr="003D19A2">
        <w:rPr>
          <w:lang w:val="en-GB"/>
        </w:rPr>
        <w:t xml:space="preserve">Barnard </w:t>
      </w:r>
      <w:r>
        <w:rPr>
          <w:iCs/>
          <w:lang w:val="en-GB"/>
        </w:rPr>
        <w:t>(note </w:t>
      </w:r>
      <w:r>
        <w:rPr>
          <w:iCs/>
          <w:lang w:val="en-GB"/>
        </w:rPr>
        <w:fldChar w:fldCharType="begin"/>
      </w:r>
      <w:r>
        <w:rPr>
          <w:iCs/>
          <w:lang w:val="en-GB"/>
        </w:rPr>
        <w:instrText xml:space="preserve"> NOTEREF _Ref520141027 \h  \* MERGEFORMAT </w:instrText>
      </w:r>
      <w:r>
        <w:rPr>
          <w:iCs/>
          <w:lang w:val="en-GB"/>
        </w:rPr>
      </w:r>
      <w:r>
        <w:rPr>
          <w:iCs/>
          <w:lang w:val="en-GB"/>
        </w:rPr>
        <w:fldChar w:fldCharType="separate"/>
      </w:r>
      <w:r w:rsidR="00F97B66">
        <w:rPr>
          <w:iCs/>
          <w:lang w:val="en-GB"/>
        </w:rPr>
        <w:t>16</w:t>
      </w:r>
      <w:r>
        <w:rPr>
          <w:iCs/>
          <w:lang w:val="en-GB"/>
        </w:rPr>
        <w:fldChar w:fldCharType="end"/>
      </w:r>
      <w:r>
        <w:rPr>
          <w:iCs/>
          <w:lang w:val="en-GB"/>
        </w:rPr>
        <w:t xml:space="preserve"> above) at</w:t>
      </w:r>
      <w:r w:rsidRPr="003D19A2">
        <w:rPr>
          <w:lang w:val="en-GB"/>
        </w:rPr>
        <w:t xml:space="preserve"> 231-232; </w:t>
      </w:r>
      <w:r w:rsidRPr="003D19A2">
        <w:rPr>
          <w:bCs/>
          <w:lang w:val="en-GB"/>
        </w:rPr>
        <w:t xml:space="preserve">Lubbe </w:t>
      </w:r>
      <w:r>
        <w:rPr>
          <w:bCs/>
          <w:lang w:val="en-GB"/>
        </w:rPr>
        <w:t>(note </w:t>
      </w:r>
      <w:r>
        <w:rPr>
          <w:bCs/>
          <w:lang w:val="en-GB"/>
        </w:rPr>
        <w:fldChar w:fldCharType="begin"/>
      </w:r>
      <w:r>
        <w:rPr>
          <w:bCs/>
          <w:lang w:val="en-GB"/>
        </w:rPr>
        <w:instrText xml:space="preserve"> NOTEREF _Ref520139260 \h  \* MERGEFORMAT </w:instrText>
      </w:r>
      <w:r>
        <w:rPr>
          <w:bCs/>
          <w:lang w:val="en-GB"/>
        </w:rPr>
      </w:r>
      <w:r>
        <w:rPr>
          <w:bCs/>
          <w:lang w:val="en-GB"/>
        </w:rPr>
        <w:fldChar w:fldCharType="separate"/>
      </w:r>
      <w:r w:rsidR="00F97B66">
        <w:rPr>
          <w:bCs/>
          <w:lang w:val="en-GB"/>
        </w:rPr>
        <w:t>10</w:t>
      </w:r>
      <w:r>
        <w:rPr>
          <w:bCs/>
          <w:lang w:val="en-GB"/>
        </w:rPr>
        <w:fldChar w:fldCharType="end"/>
      </w:r>
      <w:r>
        <w:rPr>
          <w:bCs/>
          <w:lang w:val="en-GB"/>
        </w:rPr>
        <w:t xml:space="preserve"> above) at</w:t>
      </w:r>
      <w:r w:rsidRPr="003D19A2">
        <w:rPr>
          <w:bCs/>
          <w:lang w:val="en-GB"/>
        </w:rPr>
        <w:t xml:space="preserve"> 421.</w:t>
      </w:r>
      <w:r w:rsidRPr="003D19A2">
        <w:rPr>
          <w:lang w:val="en-GB"/>
        </w:rPr>
        <w:t xml:space="preserve"> </w:t>
      </w:r>
    </w:p>
  </w:footnote>
  <w:footnote w:id="40">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t xml:space="preserve">See Feldman </w:t>
      </w:r>
      <w:r>
        <w:rPr>
          <w:bCs/>
          <w:lang w:val="en-GB"/>
        </w:rPr>
        <w:t>(note </w:t>
      </w:r>
      <w:r>
        <w:rPr>
          <w:bCs/>
          <w:lang w:val="en-GB"/>
        </w:rPr>
        <w:fldChar w:fldCharType="begin"/>
      </w:r>
      <w:r>
        <w:rPr>
          <w:bCs/>
          <w:lang w:val="en-GB"/>
        </w:rPr>
        <w:instrText xml:space="preserve"> NOTEREF _Ref520139260 \h  \* MERGEFORMAT </w:instrText>
      </w:r>
      <w:r>
        <w:rPr>
          <w:bCs/>
          <w:lang w:val="en-GB"/>
        </w:rPr>
      </w:r>
      <w:r>
        <w:rPr>
          <w:bCs/>
          <w:lang w:val="en-GB"/>
        </w:rPr>
        <w:fldChar w:fldCharType="separate"/>
      </w:r>
      <w:r w:rsidR="00F97B66">
        <w:rPr>
          <w:bCs/>
          <w:lang w:val="en-GB"/>
        </w:rPr>
        <w:t>10</w:t>
      </w:r>
      <w:r>
        <w:rPr>
          <w:bCs/>
          <w:lang w:val="en-GB"/>
        </w:rPr>
        <w:fldChar w:fldCharType="end"/>
      </w:r>
      <w:r>
        <w:rPr>
          <w:bCs/>
          <w:lang w:val="en-GB"/>
        </w:rPr>
        <w:t xml:space="preserve"> above) at</w:t>
      </w:r>
      <w:r w:rsidRPr="003D19A2">
        <w:rPr>
          <w:lang w:val="en-GB"/>
        </w:rPr>
        <w:t xml:space="preserve"> 699 who maintains that this conception of human dignity has been used to promote social justice &amp; Brownsword </w:t>
      </w:r>
      <w:r>
        <w:rPr>
          <w:lang w:val="en-GB"/>
        </w:rPr>
        <w:t>(note </w:t>
      </w:r>
      <w:r>
        <w:rPr>
          <w:lang w:val="en-GB"/>
        </w:rPr>
        <w:fldChar w:fldCharType="begin"/>
      </w:r>
      <w:r>
        <w:rPr>
          <w:lang w:val="en-GB"/>
        </w:rPr>
        <w:instrText xml:space="preserve"> NOTEREF _Ref520141524 \h  \* MERGEFORMAT </w:instrText>
      </w:r>
      <w:r>
        <w:rPr>
          <w:lang w:val="en-GB"/>
        </w:rPr>
      </w:r>
      <w:r>
        <w:rPr>
          <w:lang w:val="en-GB"/>
        </w:rPr>
        <w:fldChar w:fldCharType="separate"/>
      </w:r>
      <w:r w:rsidR="00F97B66">
        <w:rPr>
          <w:lang w:val="en-GB"/>
        </w:rPr>
        <w:t>24</w:t>
      </w:r>
      <w:r>
        <w:rPr>
          <w:lang w:val="en-GB"/>
        </w:rPr>
        <w:fldChar w:fldCharType="end"/>
      </w:r>
      <w:r>
        <w:rPr>
          <w:lang w:val="en-GB"/>
        </w:rPr>
        <w:t xml:space="preserve"> above) at</w:t>
      </w:r>
      <w:r w:rsidRPr="003D19A2">
        <w:rPr>
          <w:lang w:val="en-GB"/>
        </w:rPr>
        <w:t xml:space="preserve"> 298 who states that this conception of human dignity can be used to limit free trade. See also Hawthorne </w:t>
      </w:r>
      <w:r>
        <w:rPr>
          <w:lang w:val="en-GB"/>
        </w:rPr>
        <w:t>(note </w:t>
      </w:r>
      <w:r>
        <w:rPr>
          <w:lang w:val="en-GB"/>
        </w:rPr>
        <w:fldChar w:fldCharType="begin"/>
      </w:r>
      <w:r>
        <w:rPr>
          <w:lang w:val="en-GB"/>
        </w:rPr>
        <w:instrText xml:space="preserve"> NOTEREF _Ref520139260 \h  \* MERGEFORMAT </w:instrText>
      </w:r>
      <w:r>
        <w:rPr>
          <w:lang w:val="en-GB"/>
        </w:rPr>
      </w:r>
      <w:r>
        <w:rPr>
          <w:lang w:val="en-GB"/>
        </w:rPr>
        <w:fldChar w:fldCharType="separate"/>
      </w:r>
      <w:r w:rsidR="00F97B66">
        <w:rPr>
          <w:lang w:val="en-GB"/>
        </w:rPr>
        <w:t>10</w:t>
      </w:r>
      <w:r>
        <w:rPr>
          <w:lang w:val="en-GB"/>
        </w:rPr>
        <w:fldChar w:fldCharType="end"/>
      </w:r>
      <w:r>
        <w:rPr>
          <w:lang w:val="en-GB"/>
        </w:rPr>
        <w:t xml:space="preserve"> above) at</w:t>
      </w:r>
      <w:r w:rsidRPr="003D19A2">
        <w:rPr>
          <w:lang w:val="en-GB"/>
        </w:rPr>
        <w:t xml:space="preserve"> para 4 2; </w:t>
      </w:r>
      <w:r w:rsidRPr="003D19A2">
        <w:rPr>
          <w:bCs/>
          <w:lang w:val="en-GB"/>
        </w:rPr>
        <w:t xml:space="preserve">Bhana &amp; Pieterse </w:t>
      </w:r>
      <w:r>
        <w:rPr>
          <w:bCs/>
          <w:lang w:val="en-GB"/>
        </w:rPr>
        <w:t>(note </w:t>
      </w:r>
      <w:r>
        <w:rPr>
          <w:bCs/>
          <w:lang w:val="en-GB"/>
        </w:rPr>
        <w:fldChar w:fldCharType="begin"/>
      </w:r>
      <w:r>
        <w:rPr>
          <w:bCs/>
          <w:lang w:val="en-GB"/>
        </w:rPr>
        <w:instrText xml:space="preserve"> NOTEREF _Ref520139260 \h  \* MERGEFORMAT </w:instrText>
      </w:r>
      <w:r>
        <w:rPr>
          <w:bCs/>
          <w:lang w:val="en-GB"/>
        </w:rPr>
      </w:r>
      <w:r>
        <w:rPr>
          <w:bCs/>
          <w:lang w:val="en-GB"/>
        </w:rPr>
        <w:fldChar w:fldCharType="separate"/>
      </w:r>
      <w:r w:rsidR="00F97B66">
        <w:rPr>
          <w:bCs/>
          <w:lang w:val="en-GB"/>
        </w:rPr>
        <w:t>10</w:t>
      </w:r>
      <w:r>
        <w:rPr>
          <w:bCs/>
          <w:lang w:val="en-GB"/>
        </w:rPr>
        <w:fldChar w:fldCharType="end"/>
      </w:r>
      <w:r>
        <w:rPr>
          <w:bCs/>
          <w:lang w:val="en-GB"/>
        </w:rPr>
        <w:t xml:space="preserve"> above) at</w:t>
      </w:r>
      <w:r w:rsidRPr="003D19A2">
        <w:rPr>
          <w:bCs/>
          <w:lang w:val="en-GB"/>
        </w:rPr>
        <w:t xml:space="preserve"> 881; Lubbe </w:t>
      </w:r>
      <w:r>
        <w:rPr>
          <w:bCs/>
          <w:lang w:val="en-GB"/>
        </w:rPr>
        <w:t>(note </w:t>
      </w:r>
      <w:r>
        <w:rPr>
          <w:bCs/>
          <w:lang w:val="en-GB"/>
        </w:rPr>
        <w:fldChar w:fldCharType="begin"/>
      </w:r>
      <w:r>
        <w:rPr>
          <w:bCs/>
          <w:lang w:val="en-GB"/>
        </w:rPr>
        <w:instrText xml:space="preserve"> NOTEREF _Ref520139260 \h  \* MERGEFORMAT </w:instrText>
      </w:r>
      <w:r>
        <w:rPr>
          <w:bCs/>
          <w:lang w:val="en-GB"/>
        </w:rPr>
      </w:r>
      <w:r>
        <w:rPr>
          <w:bCs/>
          <w:lang w:val="en-GB"/>
        </w:rPr>
        <w:fldChar w:fldCharType="separate"/>
      </w:r>
      <w:r w:rsidR="00F97B66">
        <w:rPr>
          <w:bCs/>
          <w:lang w:val="en-GB"/>
        </w:rPr>
        <w:t>10</w:t>
      </w:r>
      <w:r>
        <w:rPr>
          <w:bCs/>
          <w:lang w:val="en-GB"/>
        </w:rPr>
        <w:fldChar w:fldCharType="end"/>
      </w:r>
      <w:r>
        <w:rPr>
          <w:bCs/>
          <w:lang w:val="en-GB"/>
        </w:rPr>
        <w:t xml:space="preserve"> above) at</w:t>
      </w:r>
      <w:r w:rsidRPr="003D19A2">
        <w:rPr>
          <w:bCs/>
          <w:lang w:val="en-GB"/>
        </w:rPr>
        <w:t> 422.</w:t>
      </w:r>
    </w:p>
  </w:footnote>
  <w:footnote w:id="41">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sidRPr="003D19A2">
        <w:rPr>
          <w:bCs/>
          <w:lang w:val="en-GB"/>
        </w:rPr>
        <w:t xml:space="preserve">Brownsword </w:t>
      </w:r>
      <w:r>
        <w:rPr>
          <w:bCs/>
          <w:lang w:val="en-GB"/>
        </w:rPr>
        <w:t xml:space="preserve">(note </w:t>
      </w:r>
      <w:r>
        <w:rPr>
          <w:bCs/>
          <w:lang w:val="en-GB"/>
        </w:rPr>
        <w:fldChar w:fldCharType="begin"/>
      </w:r>
      <w:r>
        <w:rPr>
          <w:bCs/>
          <w:lang w:val="en-GB"/>
        </w:rPr>
        <w:instrText xml:space="preserve"> NOTEREF _Ref473022004 \h  \* MERGEFORMAT </w:instrText>
      </w:r>
      <w:r>
        <w:rPr>
          <w:bCs/>
          <w:lang w:val="en-GB"/>
        </w:rPr>
      </w:r>
      <w:r>
        <w:rPr>
          <w:bCs/>
          <w:lang w:val="en-GB"/>
        </w:rPr>
        <w:fldChar w:fldCharType="separate"/>
      </w:r>
      <w:r w:rsidR="00F97B66">
        <w:rPr>
          <w:bCs/>
          <w:lang w:val="en-GB"/>
        </w:rPr>
        <w:t>11</w:t>
      </w:r>
      <w:r>
        <w:rPr>
          <w:bCs/>
          <w:lang w:val="en-GB"/>
        </w:rPr>
        <w:fldChar w:fldCharType="end"/>
      </w:r>
      <w:r>
        <w:rPr>
          <w:bCs/>
          <w:lang w:val="en-GB"/>
        </w:rPr>
        <w:t xml:space="preserve"> above) at</w:t>
      </w:r>
      <w:r w:rsidRPr="003D19A2">
        <w:rPr>
          <w:lang w:val="en-GB"/>
        </w:rPr>
        <w:t xml:space="preserve"> 194. See also Brownsword </w:t>
      </w:r>
      <w:r>
        <w:rPr>
          <w:lang w:val="en-GB"/>
        </w:rPr>
        <w:t>(note </w:t>
      </w:r>
      <w:r>
        <w:rPr>
          <w:lang w:val="en-GB"/>
        </w:rPr>
        <w:fldChar w:fldCharType="begin"/>
      </w:r>
      <w:r>
        <w:rPr>
          <w:lang w:val="en-GB"/>
        </w:rPr>
        <w:instrText xml:space="preserve"> NOTEREF _Ref520141524 \h  \* MERGEFORMAT </w:instrText>
      </w:r>
      <w:r>
        <w:rPr>
          <w:lang w:val="en-GB"/>
        </w:rPr>
      </w:r>
      <w:r>
        <w:rPr>
          <w:lang w:val="en-GB"/>
        </w:rPr>
        <w:fldChar w:fldCharType="separate"/>
      </w:r>
      <w:r w:rsidR="00F97B66">
        <w:rPr>
          <w:lang w:val="en-GB"/>
        </w:rPr>
        <w:t>24</w:t>
      </w:r>
      <w:r>
        <w:rPr>
          <w:lang w:val="en-GB"/>
        </w:rPr>
        <w:fldChar w:fldCharType="end"/>
      </w:r>
      <w:r>
        <w:rPr>
          <w:lang w:val="en-GB"/>
        </w:rPr>
        <w:t xml:space="preserve"> above) at</w:t>
      </w:r>
      <w:r w:rsidRPr="003D19A2">
        <w:rPr>
          <w:lang w:val="en-GB"/>
        </w:rPr>
        <w:t xml:space="preserve"> 296.</w:t>
      </w:r>
    </w:p>
  </w:footnote>
  <w:footnote w:id="42">
    <w:p w:rsidR="00B613DB" w:rsidRDefault="00B613DB" w:rsidP="002F6072">
      <w:pPr>
        <w:pStyle w:val="FootnoteText"/>
      </w:pPr>
      <w:r>
        <w:rPr>
          <w:rStyle w:val="FootnoteReference"/>
        </w:rPr>
        <w:footnoteRef/>
      </w:r>
      <w:r>
        <w:t xml:space="preserve"> </w:t>
      </w:r>
      <w:r>
        <w:tab/>
      </w:r>
      <w:r w:rsidRPr="003D19A2">
        <w:rPr>
          <w:bCs/>
          <w:lang w:val="en-GB"/>
        </w:rPr>
        <w:t xml:space="preserve">Brownsword </w:t>
      </w:r>
      <w:r>
        <w:rPr>
          <w:bCs/>
          <w:lang w:val="en-GB"/>
        </w:rPr>
        <w:t xml:space="preserve">(note </w:t>
      </w:r>
      <w:r>
        <w:rPr>
          <w:bCs/>
          <w:lang w:val="en-GB"/>
        </w:rPr>
        <w:fldChar w:fldCharType="begin"/>
      </w:r>
      <w:r>
        <w:rPr>
          <w:bCs/>
          <w:lang w:val="en-GB"/>
        </w:rPr>
        <w:instrText xml:space="preserve"> NOTEREF _Ref473022004 \h  \* MERGEFORMAT </w:instrText>
      </w:r>
      <w:r>
        <w:rPr>
          <w:bCs/>
          <w:lang w:val="en-GB"/>
        </w:rPr>
      </w:r>
      <w:r>
        <w:rPr>
          <w:bCs/>
          <w:lang w:val="en-GB"/>
        </w:rPr>
        <w:fldChar w:fldCharType="separate"/>
      </w:r>
      <w:r w:rsidR="00F97B66">
        <w:rPr>
          <w:bCs/>
          <w:lang w:val="en-GB"/>
        </w:rPr>
        <w:t>11</w:t>
      </w:r>
      <w:r>
        <w:rPr>
          <w:bCs/>
          <w:lang w:val="en-GB"/>
        </w:rPr>
        <w:fldChar w:fldCharType="end"/>
      </w:r>
      <w:r>
        <w:rPr>
          <w:bCs/>
          <w:lang w:val="en-GB"/>
        </w:rPr>
        <w:t xml:space="preserve"> above) at</w:t>
      </w:r>
      <w:r w:rsidRPr="003D19A2">
        <w:rPr>
          <w:lang w:val="en-GB"/>
        </w:rPr>
        <w:t xml:space="preserve"> 182, 194-195. See also his discussion of this </w:t>
      </w:r>
      <w:r>
        <w:rPr>
          <w:lang w:val="en-GB"/>
        </w:rPr>
        <w:t>decision</w:t>
      </w:r>
      <w:r w:rsidRPr="003D19A2">
        <w:rPr>
          <w:lang w:val="en-GB"/>
        </w:rPr>
        <w:t xml:space="preserve"> in Brownsword </w:t>
      </w:r>
      <w:r>
        <w:rPr>
          <w:lang w:val="en-GB"/>
        </w:rPr>
        <w:t>(note </w:t>
      </w:r>
      <w:r>
        <w:rPr>
          <w:lang w:val="en-GB"/>
        </w:rPr>
        <w:fldChar w:fldCharType="begin"/>
      </w:r>
      <w:r>
        <w:rPr>
          <w:lang w:val="en-GB"/>
        </w:rPr>
        <w:instrText xml:space="preserve"> NOTEREF _Ref520141172 \h  \* MERGEFORMAT </w:instrText>
      </w:r>
      <w:r>
        <w:rPr>
          <w:lang w:val="en-GB"/>
        </w:rPr>
      </w:r>
      <w:r>
        <w:rPr>
          <w:lang w:val="en-GB"/>
        </w:rPr>
        <w:fldChar w:fldCharType="separate"/>
      </w:r>
      <w:r w:rsidR="00F97B66">
        <w:rPr>
          <w:lang w:val="en-GB"/>
        </w:rPr>
        <w:t>21</w:t>
      </w:r>
      <w:r>
        <w:rPr>
          <w:lang w:val="en-GB"/>
        </w:rPr>
        <w:fldChar w:fldCharType="end"/>
      </w:r>
      <w:r>
        <w:rPr>
          <w:lang w:val="en-GB"/>
        </w:rPr>
        <w:t xml:space="preserve"> above) at</w:t>
      </w:r>
      <w:r w:rsidRPr="003D19A2">
        <w:rPr>
          <w:iCs/>
          <w:lang w:val="en-GB"/>
        </w:rPr>
        <w:t xml:space="preserve"> 11.</w:t>
      </w:r>
    </w:p>
  </w:footnote>
  <w:footnote w:id="43">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sidRPr="003D19A2">
        <w:rPr>
          <w:i/>
          <w:iCs/>
          <w:lang w:val="en-GB"/>
        </w:rPr>
        <w:t>Jerusalem Community Burial Society v Kestenbaum</w:t>
      </w:r>
      <w:r w:rsidRPr="003D19A2">
        <w:rPr>
          <w:lang w:val="en-GB"/>
        </w:rPr>
        <w:t xml:space="preserve"> CA 294/91, [1992] IsrSC 46(2) 464 (Hebrew). I rely on a translation of this </w:t>
      </w:r>
      <w:r>
        <w:rPr>
          <w:lang w:val="en-GB"/>
        </w:rPr>
        <w:t>decision</w:t>
      </w:r>
      <w:r w:rsidRPr="003D19A2">
        <w:rPr>
          <w:lang w:val="en-GB"/>
        </w:rPr>
        <w:t xml:space="preserve"> by Yuval Abrams as available at </w:t>
      </w:r>
      <w:hyperlink r:id="rId1" w:history="1">
        <w:r w:rsidRPr="003D19A2">
          <w:rPr>
            <w:rStyle w:val="Hyperlink"/>
            <w:lang w:val="en-GB"/>
          </w:rPr>
          <w:t>https://law.utexas.edu/transnational/foreign-law-translations/israeli/case.php?id=1391</w:t>
        </w:r>
      </w:hyperlink>
      <w:r>
        <w:rPr>
          <w:lang w:val="en-GB"/>
        </w:rPr>
        <w:t xml:space="preserve"> (‘</w:t>
      </w:r>
      <w:r>
        <w:rPr>
          <w:i/>
          <w:lang w:val="en-GB"/>
        </w:rPr>
        <w:t>Jerusalem translation</w:t>
      </w:r>
      <w:r>
        <w:rPr>
          <w:lang w:val="en-GB"/>
        </w:rPr>
        <w:t xml:space="preserve">’). </w:t>
      </w:r>
    </w:p>
  </w:footnote>
  <w:footnote w:id="44">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t xml:space="preserve">See the summary of the facts in </w:t>
      </w:r>
      <w:r>
        <w:rPr>
          <w:i/>
          <w:lang w:val="en-GB"/>
        </w:rPr>
        <w:t xml:space="preserve">Jerusalem translation </w:t>
      </w:r>
      <w:r>
        <w:rPr>
          <w:lang w:val="en-GB"/>
        </w:rPr>
        <w:t>(note </w:t>
      </w:r>
      <w:r>
        <w:rPr>
          <w:lang w:val="en-GB"/>
        </w:rPr>
        <w:fldChar w:fldCharType="begin"/>
      </w:r>
      <w:r>
        <w:rPr>
          <w:lang w:val="en-GB"/>
        </w:rPr>
        <w:instrText xml:space="preserve"> NOTEREF _Ref520142290 \h  \* MERGEFORMAT </w:instrText>
      </w:r>
      <w:r>
        <w:rPr>
          <w:lang w:val="en-GB"/>
        </w:rPr>
      </w:r>
      <w:r>
        <w:rPr>
          <w:lang w:val="en-GB"/>
        </w:rPr>
        <w:fldChar w:fldCharType="separate"/>
      </w:r>
      <w:r w:rsidR="00F97B66">
        <w:rPr>
          <w:lang w:val="en-GB"/>
        </w:rPr>
        <w:t>43</w:t>
      </w:r>
      <w:r>
        <w:rPr>
          <w:lang w:val="en-GB"/>
        </w:rPr>
        <w:fldChar w:fldCharType="end"/>
      </w:r>
      <w:r>
        <w:rPr>
          <w:lang w:val="en-GB"/>
        </w:rPr>
        <w:t xml:space="preserve"> above)</w:t>
      </w:r>
      <w:r w:rsidRPr="003D19A2">
        <w:rPr>
          <w:lang w:val="en-GB"/>
        </w:rPr>
        <w:t xml:space="preserve"> &amp; </w:t>
      </w:r>
      <w:r w:rsidRPr="003D19A2">
        <w:rPr>
          <w:bCs/>
          <w:lang w:val="en-GB"/>
        </w:rPr>
        <w:t xml:space="preserve">Brownsword </w:t>
      </w:r>
      <w:r>
        <w:rPr>
          <w:bCs/>
          <w:lang w:val="en-GB"/>
        </w:rPr>
        <w:t>(note </w:t>
      </w:r>
      <w:r>
        <w:rPr>
          <w:bCs/>
          <w:lang w:val="en-GB"/>
        </w:rPr>
        <w:fldChar w:fldCharType="begin"/>
      </w:r>
      <w:r>
        <w:rPr>
          <w:bCs/>
          <w:lang w:val="en-GB"/>
        </w:rPr>
        <w:instrText xml:space="preserve"> NOTEREF _Ref473022004 \h  \* MERGEFORMAT </w:instrText>
      </w:r>
      <w:r>
        <w:rPr>
          <w:bCs/>
          <w:lang w:val="en-GB"/>
        </w:rPr>
      </w:r>
      <w:r>
        <w:rPr>
          <w:bCs/>
          <w:lang w:val="en-GB"/>
        </w:rPr>
        <w:fldChar w:fldCharType="separate"/>
      </w:r>
      <w:r w:rsidR="00F97B66">
        <w:rPr>
          <w:bCs/>
          <w:lang w:val="en-GB"/>
        </w:rPr>
        <w:t>11</w:t>
      </w:r>
      <w:r>
        <w:rPr>
          <w:bCs/>
          <w:lang w:val="en-GB"/>
        </w:rPr>
        <w:fldChar w:fldCharType="end"/>
      </w:r>
      <w:r>
        <w:rPr>
          <w:bCs/>
          <w:lang w:val="en-GB"/>
        </w:rPr>
        <w:t xml:space="preserve"> above) at</w:t>
      </w:r>
      <w:r w:rsidRPr="003D19A2">
        <w:rPr>
          <w:lang w:val="en-GB"/>
        </w:rPr>
        <w:t xml:space="preserve"> 182.</w:t>
      </w:r>
    </w:p>
  </w:footnote>
  <w:footnote w:id="45">
    <w:p w:rsidR="00B613DB" w:rsidRPr="003D19A2" w:rsidRDefault="00B613DB" w:rsidP="002F6072">
      <w:pPr>
        <w:pStyle w:val="FootnoteText"/>
        <w:rPr>
          <w:lang w:val="en-GB"/>
        </w:rPr>
      </w:pPr>
      <w:r w:rsidRPr="003D19A2">
        <w:rPr>
          <w:rStyle w:val="FootnoteReference"/>
          <w:lang w:val="en-GB"/>
        </w:rPr>
        <w:footnoteRef/>
      </w:r>
      <w:r>
        <w:t xml:space="preserve"> </w:t>
      </w:r>
      <w:r>
        <w:tab/>
        <w:t xml:space="preserve">Per </w:t>
      </w:r>
      <w:r w:rsidRPr="003D19A2">
        <w:rPr>
          <w:lang w:val="en-GB"/>
        </w:rPr>
        <w:t xml:space="preserve">Shamgar P (opinion of the court) as found </w:t>
      </w:r>
      <w:r>
        <w:rPr>
          <w:i/>
          <w:lang w:val="en-GB"/>
        </w:rPr>
        <w:t xml:space="preserve">Jerusalem translation </w:t>
      </w:r>
      <w:r>
        <w:rPr>
          <w:lang w:val="en-GB"/>
        </w:rPr>
        <w:t>(note </w:t>
      </w:r>
      <w:r>
        <w:rPr>
          <w:lang w:val="en-GB"/>
        </w:rPr>
        <w:fldChar w:fldCharType="begin"/>
      </w:r>
      <w:r>
        <w:rPr>
          <w:lang w:val="en-GB"/>
        </w:rPr>
        <w:instrText xml:space="preserve"> NOTEREF _Ref520142290 \h  \* MERGEFORMAT </w:instrText>
      </w:r>
      <w:r>
        <w:rPr>
          <w:lang w:val="en-GB"/>
        </w:rPr>
      </w:r>
      <w:r>
        <w:rPr>
          <w:lang w:val="en-GB"/>
        </w:rPr>
        <w:fldChar w:fldCharType="separate"/>
      </w:r>
      <w:r w:rsidR="00F97B66">
        <w:rPr>
          <w:lang w:val="en-GB"/>
        </w:rPr>
        <w:t>43</w:t>
      </w:r>
      <w:r>
        <w:rPr>
          <w:lang w:val="en-GB"/>
        </w:rPr>
        <w:fldChar w:fldCharType="end"/>
      </w:r>
      <w:r>
        <w:rPr>
          <w:lang w:val="en-GB"/>
        </w:rPr>
        <w:t xml:space="preserve"> above)</w:t>
      </w:r>
      <w:r w:rsidRPr="003D19A2">
        <w:rPr>
          <w:lang w:val="en-GB"/>
        </w:rPr>
        <w:t xml:space="preserve"> &amp; </w:t>
      </w:r>
      <w:r>
        <w:rPr>
          <w:lang w:val="en-GB"/>
        </w:rPr>
        <w:t xml:space="preserve">discussed in </w:t>
      </w:r>
      <w:r w:rsidRPr="003D19A2">
        <w:rPr>
          <w:bCs/>
          <w:lang w:val="en-GB"/>
        </w:rPr>
        <w:t xml:space="preserve">Brownsword </w:t>
      </w:r>
      <w:r>
        <w:rPr>
          <w:bCs/>
          <w:lang w:val="en-GB"/>
        </w:rPr>
        <w:t xml:space="preserve">(note </w:t>
      </w:r>
      <w:r>
        <w:rPr>
          <w:bCs/>
          <w:lang w:val="en-GB"/>
        </w:rPr>
        <w:fldChar w:fldCharType="begin"/>
      </w:r>
      <w:r>
        <w:rPr>
          <w:bCs/>
          <w:lang w:val="en-GB"/>
        </w:rPr>
        <w:instrText xml:space="preserve"> NOTEREF _Ref473022004 \h  \* MERGEFORMAT </w:instrText>
      </w:r>
      <w:r>
        <w:rPr>
          <w:bCs/>
          <w:lang w:val="en-GB"/>
        </w:rPr>
      </w:r>
      <w:r>
        <w:rPr>
          <w:bCs/>
          <w:lang w:val="en-GB"/>
        </w:rPr>
        <w:fldChar w:fldCharType="separate"/>
      </w:r>
      <w:r w:rsidR="00F97B66">
        <w:rPr>
          <w:bCs/>
          <w:lang w:val="en-GB"/>
        </w:rPr>
        <w:t>11</w:t>
      </w:r>
      <w:r>
        <w:rPr>
          <w:bCs/>
          <w:lang w:val="en-GB"/>
        </w:rPr>
        <w:fldChar w:fldCharType="end"/>
      </w:r>
      <w:r>
        <w:rPr>
          <w:bCs/>
          <w:lang w:val="en-GB"/>
        </w:rPr>
        <w:t xml:space="preserve"> above) at</w:t>
      </w:r>
      <w:r w:rsidRPr="003D19A2">
        <w:rPr>
          <w:lang w:val="en-GB"/>
        </w:rPr>
        <w:t xml:space="preserve"> 182. In his concurring judgment, Justice Barak held that the contract term violated both the human dignity of the deceased and that of her family if neither the deceased (during her lifetime) nor her family is allowed to determine the inscription on the tombstone (Barak J (concurring judgment) para 28 </w:t>
      </w:r>
      <w:r>
        <w:rPr>
          <w:lang w:val="en-GB"/>
        </w:rPr>
        <w:t xml:space="preserve">as set out in </w:t>
      </w:r>
      <w:r>
        <w:rPr>
          <w:i/>
          <w:lang w:val="en-GB"/>
        </w:rPr>
        <w:t xml:space="preserve">Jerusalem translation </w:t>
      </w:r>
      <w:r>
        <w:rPr>
          <w:lang w:val="en-GB"/>
        </w:rPr>
        <w:t>(note </w:t>
      </w:r>
      <w:r>
        <w:rPr>
          <w:lang w:val="en-GB"/>
        </w:rPr>
        <w:fldChar w:fldCharType="begin"/>
      </w:r>
      <w:r>
        <w:rPr>
          <w:lang w:val="en-GB"/>
        </w:rPr>
        <w:instrText xml:space="preserve"> NOTEREF _Ref520142290 \h  \* MERGEFORMAT </w:instrText>
      </w:r>
      <w:r>
        <w:rPr>
          <w:lang w:val="en-GB"/>
        </w:rPr>
      </w:r>
      <w:r>
        <w:rPr>
          <w:lang w:val="en-GB"/>
        </w:rPr>
        <w:fldChar w:fldCharType="separate"/>
      </w:r>
      <w:r w:rsidR="00F97B66">
        <w:rPr>
          <w:lang w:val="en-GB"/>
        </w:rPr>
        <w:t>43</w:t>
      </w:r>
      <w:r>
        <w:rPr>
          <w:lang w:val="en-GB"/>
        </w:rPr>
        <w:fldChar w:fldCharType="end"/>
      </w:r>
      <w:r>
        <w:rPr>
          <w:lang w:val="en-GB"/>
        </w:rPr>
        <w:t xml:space="preserve"> above)</w:t>
      </w:r>
      <w:r w:rsidRPr="003D19A2">
        <w:rPr>
          <w:lang w:val="en-GB"/>
        </w:rPr>
        <w:t>).</w:t>
      </w:r>
    </w:p>
  </w:footnote>
  <w:footnote w:id="46">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t xml:space="preserve">Per Elon DP (in dissent) as found in </w:t>
      </w:r>
      <w:r>
        <w:rPr>
          <w:i/>
          <w:lang w:val="en-GB"/>
        </w:rPr>
        <w:t xml:space="preserve">Jerusalem translation </w:t>
      </w:r>
      <w:r>
        <w:rPr>
          <w:lang w:val="en-GB"/>
        </w:rPr>
        <w:t>(note </w:t>
      </w:r>
      <w:r>
        <w:rPr>
          <w:lang w:val="en-GB"/>
        </w:rPr>
        <w:fldChar w:fldCharType="begin"/>
      </w:r>
      <w:r>
        <w:rPr>
          <w:lang w:val="en-GB"/>
        </w:rPr>
        <w:instrText xml:space="preserve"> NOTEREF _Ref520142290 \h  \* MERGEFORMAT </w:instrText>
      </w:r>
      <w:r>
        <w:rPr>
          <w:lang w:val="en-GB"/>
        </w:rPr>
      </w:r>
      <w:r>
        <w:rPr>
          <w:lang w:val="en-GB"/>
        </w:rPr>
        <w:fldChar w:fldCharType="separate"/>
      </w:r>
      <w:r w:rsidR="00F97B66">
        <w:rPr>
          <w:lang w:val="en-GB"/>
        </w:rPr>
        <w:t>43</w:t>
      </w:r>
      <w:r>
        <w:rPr>
          <w:lang w:val="en-GB"/>
        </w:rPr>
        <w:fldChar w:fldCharType="end"/>
      </w:r>
      <w:r>
        <w:rPr>
          <w:lang w:val="en-GB"/>
        </w:rPr>
        <w:t xml:space="preserve"> above)</w:t>
      </w:r>
      <w:r w:rsidRPr="003D19A2">
        <w:rPr>
          <w:lang w:val="en-GB"/>
        </w:rPr>
        <w:t xml:space="preserve">. See also </w:t>
      </w:r>
      <w:r w:rsidRPr="003D19A2">
        <w:rPr>
          <w:bCs/>
          <w:lang w:val="en-GB"/>
        </w:rPr>
        <w:t xml:space="preserve">Brownsword </w:t>
      </w:r>
      <w:r>
        <w:rPr>
          <w:bCs/>
          <w:lang w:val="en-GB"/>
        </w:rPr>
        <w:t xml:space="preserve">(note </w:t>
      </w:r>
      <w:r>
        <w:rPr>
          <w:bCs/>
          <w:lang w:val="en-GB"/>
        </w:rPr>
        <w:fldChar w:fldCharType="begin"/>
      </w:r>
      <w:r>
        <w:rPr>
          <w:bCs/>
          <w:lang w:val="en-GB"/>
        </w:rPr>
        <w:instrText xml:space="preserve"> NOTEREF _Ref473022004 \h  \* MERGEFORMAT </w:instrText>
      </w:r>
      <w:r>
        <w:rPr>
          <w:bCs/>
          <w:lang w:val="en-GB"/>
        </w:rPr>
      </w:r>
      <w:r>
        <w:rPr>
          <w:bCs/>
          <w:lang w:val="en-GB"/>
        </w:rPr>
        <w:fldChar w:fldCharType="separate"/>
      </w:r>
      <w:r w:rsidR="00F97B66">
        <w:rPr>
          <w:bCs/>
          <w:lang w:val="en-GB"/>
        </w:rPr>
        <w:t>11</w:t>
      </w:r>
      <w:r>
        <w:rPr>
          <w:bCs/>
          <w:lang w:val="en-GB"/>
        </w:rPr>
        <w:fldChar w:fldCharType="end"/>
      </w:r>
      <w:r>
        <w:rPr>
          <w:bCs/>
          <w:lang w:val="en-GB"/>
        </w:rPr>
        <w:t xml:space="preserve"> above) at</w:t>
      </w:r>
      <w:r>
        <w:rPr>
          <w:lang w:val="en-GB"/>
        </w:rPr>
        <w:t> </w:t>
      </w:r>
      <w:r w:rsidRPr="003D19A2">
        <w:rPr>
          <w:lang w:val="en-GB"/>
        </w:rPr>
        <w:t>182.</w:t>
      </w:r>
    </w:p>
  </w:footnote>
  <w:footnote w:id="47">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t xml:space="preserve">Brownsword </w:t>
      </w:r>
      <w:r>
        <w:rPr>
          <w:lang w:val="en-GB"/>
        </w:rPr>
        <w:t>(note </w:t>
      </w:r>
      <w:r>
        <w:rPr>
          <w:lang w:val="en-GB"/>
        </w:rPr>
        <w:fldChar w:fldCharType="begin"/>
      </w:r>
      <w:r>
        <w:rPr>
          <w:lang w:val="en-GB"/>
        </w:rPr>
        <w:instrText xml:space="preserve"> NOTEREF _Ref520141172 \h  \* MERGEFORMAT </w:instrText>
      </w:r>
      <w:r>
        <w:rPr>
          <w:lang w:val="en-GB"/>
        </w:rPr>
      </w:r>
      <w:r>
        <w:rPr>
          <w:lang w:val="en-GB"/>
        </w:rPr>
        <w:fldChar w:fldCharType="separate"/>
      </w:r>
      <w:r w:rsidR="00F97B66">
        <w:rPr>
          <w:lang w:val="en-GB"/>
        </w:rPr>
        <w:t>21</w:t>
      </w:r>
      <w:r>
        <w:rPr>
          <w:lang w:val="en-GB"/>
        </w:rPr>
        <w:fldChar w:fldCharType="end"/>
      </w:r>
      <w:r>
        <w:rPr>
          <w:lang w:val="en-GB"/>
        </w:rPr>
        <w:t xml:space="preserve"> above) at</w:t>
      </w:r>
      <w:r w:rsidRPr="003D19A2">
        <w:rPr>
          <w:iCs/>
          <w:lang w:val="en-GB"/>
        </w:rPr>
        <w:t xml:space="preserve"> 11; </w:t>
      </w:r>
      <w:r w:rsidRPr="003D19A2">
        <w:rPr>
          <w:bCs/>
          <w:lang w:val="en-GB"/>
        </w:rPr>
        <w:t xml:space="preserve">Brownsword </w:t>
      </w:r>
      <w:r>
        <w:rPr>
          <w:bCs/>
          <w:lang w:val="en-GB"/>
        </w:rPr>
        <w:t xml:space="preserve">(note </w:t>
      </w:r>
      <w:r>
        <w:rPr>
          <w:bCs/>
          <w:lang w:val="en-GB"/>
        </w:rPr>
        <w:fldChar w:fldCharType="begin"/>
      </w:r>
      <w:r>
        <w:rPr>
          <w:bCs/>
          <w:lang w:val="en-GB"/>
        </w:rPr>
        <w:instrText xml:space="preserve"> NOTEREF _Ref473022004 \h  \* MERGEFORMAT </w:instrText>
      </w:r>
      <w:r>
        <w:rPr>
          <w:bCs/>
          <w:lang w:val="en-GB"/>
        </w:rPr>
      </w:r>
      <w:r>
        <w:rPr>
          <w:bCs/>
          <w:lang w:val="en-GB"/>
        </w:rPr>
        <w:fldChar w:fldCharType="separate"/>
      </w:r>
      <w:r w:rsidR="00F97B66">
        <w:rPr>
          <w:bCs/>
          <w:lang w:val="en-GB"/>
        </w:rPr>
        <w:t>11</w:t>
      </w:r>
      <w:r>
        <w:rPr>
          <w:bCs/>
          <w:lang w:val="en-GB"/>
        </w:rPr>
        <w:fldChar w:fldCharType="end"/>
      </w:r>
      <w:r>
        <w:rPr>
          <w:bCs/>
          <w:lang w:val="en-GB"/>
        </w:rPr>
        <w:t xml:space="preserve"> above) at</w:t>
      </w:r>
      <w:r w:rsidRPr="003D19A2">
        <w:rPr>
          <w:lang w:val="en-GB"/>
        </w:rPr>
        <w:t xml:space="preserve"> 194.</w:t>
      </w:r>
    </w:p>
  </w:footnote>
  <w:footnote w:id="48">
    <w:p w:rsidR="00B613DB" w:rsidRDefault="00B613DB" w:rsidP="002F6072">
      <w:pPr>
        <w:pStyle w:val="FootnoteText"/>
      </w:pPr>
      <w:r>
        <w:rPr>
          <w:rStyle w:val="FootnoteReference"/>
        </w:rPr>
        <w:footnoteRef/>
      </w:r>
      <w:r>
        <w:t xml:space="preserve"> </w:t>
      </w:r>
      <w:r>
        <w:tab/>
      </w:r>
      <w:r w:rsidRPr="003D19A2">
        <w:rPr>
          <w:bCs/>
          <w:lang w:val="en-GB"/>
        </w:rPr>
        <w:t xml:space="preserve">Brownsword </w:t>
      </w:r>
      <w:r>
        <w:rPr>
          <w:lang w:val="en-GB"/>
        </w:rPr>
        <w:t>(note </w:t>
      </w:r>
      <w:r>
        <w:rPr>
          <w:bCs/>
          <w:lang w:val="en-GB"/>
        </w:rPr>
        <w:fldChar w:fldCharType="begin"/>
      </w:r>
      <w:r>
        <w:rPr>
          <w:bCs/>
          <w:lang w:val="en-GB"/>
        </w:rPr>
        <w:instrText xml:space="preserve"> NOTEREF _Ref473022004 \h  \* MERGEFORMAT </w:instrText>
      </w:r>
      <w:r>
        <w:rPr>
          <w:bCs/>
          <w:lang w:val="en-GB"/>
        </w:rPr>
      </w:r>
      <w:r>
        <w:rPr>
          <w:bCs/>
          <w:lang w:val="en-GB"/>
        </w:rPr>
        <w:fldChar w:fldCharType="separate"/>
      </w:r>
      <w:r w:rsidR="00F97B66">
        <w:rPr>
          <w:bCs/>
          <w:lang w:val="en-GB"/>
        </w:rPr>
        <w:t>11</w:t>
      </w:r>
      <w:r>
        <w:rPr>
          <w:bCs/>
          <w:lang w:val="en-GB"/>
        </w:rPr>
        <w:fldChar w:fldCharType="end"/>
      </w:r>
      <w:r>
        <w:rPr>
          <w:bCs/>
          <w:lang w:val="en-GB"/>
        </w:rPr>
        <w:t xml:space="preserve"> a</w:t>
      </w:r>
      <w:r>
        <w:rPr>
          <w:lang w:val="en-GB"/>
        </w:rPr>
        <w:t>bove) at</w:t>
      </w:r>
      <w:r w:rsidRPr="003D19A2">
        <w:rPr>
          <w:lang w:val="en-GB"/>
        </w:rPr>
        <w:t xml:space="preserve"> 194-195.</w:t>
      </w:r>
    </w:p>
  </w:footnote>
  <w:footnote w:id="49">
    <w:p w:rsidR="00B613DB" w:rsidRPr="003D19A2" w:rsidRDefault="00B613DB" w:rsidP="002F6072">
      <w:pPr>
        <w:pStyle w:val="FootnoteText"/>
      </w:pPr>
      <w:r w:rsidRPr="003D19A2">
        <w:rPr>
          <w:rStyle w:val="FootnoteReference"/>
          <w:lang w:val="en-GB"/>
        </w:rPr>
        <w:footnoteRef/>
      </w:r>
      <w:r w:rsidRPr="003D19A2">
        <w:t xml:space="preserve"> </w:t>
      </w:r>
      <w:r w:rsidRPr="003D19A2">
        <w:tab/>
      </w:r>
      <w:r>
        <w:t xml:space="preserve">D </w:t>
      </w:r>
      <w:r w:rsidRPr="003D19A2">
        <w:t>Cornell</w:t>
      </w:r>
      <w:r>
        <w:t xml:space="preserve"> ‘Bridging the span toward justice: Laurie Ackermann and the ongoing architectonic of dignity jurisprudence’</w:t>
      </w:r>
      <w:r w:rsidRPr="003D19A2">
        <w:t xml:space="preserve"> </w:t>
      </w:r>
      <w:r>
        <w:t>(</w:t>
      </w:r>
      <w:r w:rsidRPr="003D19A2">
        <w:t>2008</w:t>
      </w:r>
      <w:r>
        <w:t>)</w:t>
      </w:r>
      <w:r w:rsidRPr="003D19A2">
        <w:t xml:space="preserve"> </w:t>
      </w:r>
      <w:r w:rsidRPr="003D19A2">
        <w:rPr>
          <w:i/>
          <w:iCs/>
        </w:rPr>
        <w:t>Acta Juridica</w:t>
      </w:r>
      <w:r w:rsidRPr="003D19A2">
        <w:t xml:space="preserve"> </w:t>
      </w:r>
      <w:r>
        <w:t xml:space="preserve">18, </w:t>
      </w:r>
      <w:r w:rsidRPr="003D19A2">
        <w:t>24-26.</w:t>
      </w:r>
    </w:p>
  </w:footnote>
  <w:footnote w:id="50">
    <w:p w:rsidR="00B613DB" w:rsidRPr="003D19A2" w:rsidRDefault="00B613DB" w:rsidP="002F6072">
      <w:pPr>
        <w:pStyle w:val="FootnoteText"/>
      </w:pPr>
      <w:r w:rsidRPr="003D19A2">
        <w:rPr>
          <w:rStyle w:val="FootnoteReference"/>
          <w:lang w:val="en-GB"/>
        </w:rPr>
        <w:footnoteRef/>
      </w:r>
      <w:r w:rsidRPr="003D19A2">
        <w:t xml:space="preserve"> </w:t>
      </w:r>
      <w:r w:rsidRPr="003D19A2">
        <w:tab/>
      </w:r>
      <w:r>
        <w:rPr>
          <w:lang w:val="en-GB"/>
        </w:rPr>
        <w:t>Kant (note </w:t>
      </w:r>
      <w:r>
        <w:rPr>
          <w:lang w:val="en-GB"/>
        </w:rPr>
        <w:fldChar w:fldCharType="begin"/>
      </w:r>
      <w:r>
        <w:rPr>
          <w:lang w:val="en-GB"/>
        </w:rPr>
        <w:instrText xml:space="preserve"> NOTEREF _Ref520140348 \h  \* MERGEFORMAT </w:instrText>
      </w:r>
      <w:r>
        <w:rPr>
          <w:lang w:val="en-GB"/>
        </w:rPr>
      </w:r>
      <w:r>
        <w:rPr>
          <w:lang w:val="en-GB"/>
        </w:rPr>
        <w:fldChar w:fldCharType="separate"/>
      </w:r>
      <w:r w:rsidR="00F97B66">
        <w:rPr>
          <w:lang w:val="en-GB"/>
        </w:rPr>
        <w:t>13</w:t>
      </w:r>
      <w:r>
        <w:rPr>
          <w:lang w:val="en-GB"/>
        </w:rPr>
        <w:fldChar w:fldCharType="end"/>
      </w:r>
      <w:r>
        <w:rPr>
          <w:lang w:val="en-GB"/>
        </w:rPr>
        <w:t xml:space="preserve"> above) at</w:t>
      </w:r>
      <w:r w:rsidRPr="003D19A2">
        <w:rPr>
          <w:lang w:val="en-GB"/>
        </w:rPr>
        <w:t xml:space="preserve"> </w:t>
      </w:r>
      <w:r>
        <w:t xml:space="preserve">107. </w:t>
      </w:r>
    </w:p>
  </w:footnote>
  <w:footnote w:id="51">
    <w:p w:rsidR="00B613DB" w:rsidRPr="003D19A2" w:rsidRDefault="00B613DB" w:rsidP="002F6072">
      <w:pPr>
        <w:pStyle w:val="FootnoteText"/>
      </w:pPr>
      <w:r w:rsidRPr="003D19A2">
        <w:rPr>
          <w:rStyle w:val="FootnoteReference"/>
          <w:lang w:val="en-GB"/>
        </w:rPr>
        <w:footnoteRef/>
      </w:r>
      <w:r w:rsidRPr="003D19A2">
        <w:t xml:space="preserve"> </w:t>
      </w:r>
      <w:r w:rsidRPr="003D19A2">
        <w:tab/>
      </w:r>
      <w:r>
        <w:t>Ibid</w:t>
      </w:r>
      <w:r w:rsidRPr="003D19A2">
        <w:t>.</w:t>
      </w:r>
    </w:p>
  </w:footnote>
  <w:footnote w:id="52">
    <w:p w:rsidR="00B613DB" w:rsidRPr="003D19A2" w:rsidRDefault="00B613DB" w:rsidP="002F6072">
      <w:pPr>
        <w:pStyle w:val="FootnoteText"/>
        <w:rPr>
          <w:rStyle w:val="g1"/>
          <w:lang w:val="en-GB"/>
        </w:rPr>
      </w:pPr>
      <w:r w:rsidRPr="003D19A2">
        <w:rPr>
          <w:rStyle w:val="FootnoteReference"/>
          <w:lang w:val="en-GB"/>
        </w:rPr>
        <w:footnoteRef/>
      </w:r>
      <w:r w:rsidRPr="003D19A2">
        <w:t xml:space="preserve"> </w:t>
      </w:r>
      <w:r w:rsidRPr="003D19A2">
        <w:tab/>
      </w:r>
      <w:r>
        <w:rPr>
          <w:lang w:val="en-GB"/>
        </w:rPr>
        <w:t xml:space="preserve">Ibid. See further </w:t>
      </w:r>
      <w:r w:rsidRPr="003D19A2">
        <w:rPr>
          <w:bCs/>
        </w:rPr>
        <w:t xml:space="preserve">Cornell </w:t>
      </w:r>
      <w:r>
        <w:rPr>
          <w:bCs/>
        </w:rPr>
        <w:t>(note </w:t>
      </w:r>
      <w:r>
        <w:rPr>
          <w:bCs/>
        </w:rPr>
        <w:fldChar w:fldCharType="begin"/>
      </w:r>
      <w:r>
        <w:rPr>
          <w:bCs/>
        </w:rPr>
        <w:instrText xml:space="preserve"> NOTEREF _Ref480387249 \h  \* MERGEFORMAT </w:instrText>
      </w:r>
      <w:r>
        <w:rPr>
          <w:bCs/>
        </w:rPr>
      </w:r>
      <w:r>
        <w:rPr>
          <w:bCs/>
        </w:rPr>
        <w:fldChar w:fldCharType="separate"/>
      </w:r>
      <w:r w:rsidR="00F97B66">
        <w:rPr>
          <w:bCs/>
        </w:rPr>
        <w:t>49</w:t>
      </w:r>
      <w:r>
        <w:rPr>
          <w:bCs/>
        </w:rPr>
        <w:fldChar w:fldCharType="end"/>
      </w:r>
      <w:r>
        <w:rPr>
          <w:bCs/>
        </w:rPr>
        <w:t xml:space="preserve"> above) at</w:t>
      </w:r>
      <w:r w:rsidRPr="003D19A2">
        <w:rPr>
          <w:bCs/>
        </w:rPr>
        <w:t xml:space="preserve"> 24</w:t>
      </w:r>
      <w:r>
        <w:rPr>
          <w:bCs/>
        </w:rPr>
        <w:t>-25 &amp;</w:t>
      </w:r>
      <w:r w:rsidRPr="003D19A2">
        <w:rPr>
          <w:bCs/>
        </w:rPr>
        <w:t xml:space="preserve"> </w:t>
      </w:r>
      <w:r>
        <w:rPr>
          <w:bCs/>
        </w:rPr>
        <w:t xml:space="preserve">D </w:t>
      </w:r>
      <w:r w:rsidRPr="003D19A2">
        <w:t xml:space="preserve">Cornell &amp; </w:t>
      </w:r>
      <w:r>
        <w:t xml:space="preserve">S </w:t>
      </w:r>
      <w:r w:rsidRPr="003D19A2">
        <w:t xml:space="preserve">Fuller </w:t>
      </w:r>
      <w:r>
        <w:t>‘</w:t>
      </w:r>
      <w:r w:rsidRPr="003D19A2">
        <w:t>Introduction</w:t>
      </w:r>
      <w:r>
        <w:t>’</w:t>
      </w:r>
      <w:r w:rsidRPr="003D19A2">
        <w:t xml:space="preserve"> in </w:t>
      </w:r>
      <w:r>
        <w:t xml:space="preserve">D </w:t>
      </w:r>
      <w:r w:rsidRPr="003D19A2">
        <w:rPr>
          <w:iCs/>
        </w:rPr>
        <w:t xml:space="preserve">Cornell </w:t>
      </w:r>
      <w:r w:rsidRPr="003D19A2">
        <w:rPr>
          <w:i/>
        </w:rPr>
        <w:t xml:space="preserve">et al </w:t>
      </w:r>
      <w:r w:rsidRPr="003D19A2">
        <w:rPr>
          <w:iCs/>
        </w:rPr>
        <w:t xml:space="preserve">(eds) </w:t>
      </w:r>
      <w:r w:rsidRPr="0049504E">
        <w:rPr>
          <w:i/>
          <w:iCs/>
        </w:rPr>
        <w:t>The d</w:t>
      </w:r>
      <w:r w:rsidRPr="003D19A2">
        <w:rPr>
          <w:i/>
        </w:rPr>
        <w:t>ignity jurisprudence of the Constitutional Court</w:t>
      </w:r>
      <w:r>
        <w:rPr>
          <w:i/>
        </w:rPr>
        <w:t xml:space="preserve"> of South Africa: cases and material vol 1</w:t>
      </w:r>
      <w:r w:rsidRPr="003D19A2">
        <w:rPr>
          <w:iCs/>
        </w:rPr>
        <w:t xml:space="preserve"> (2013) 8.</w:t>
      </w:r>
    </w:p>
  </w:footnote>
  <w:footnote w:id="53">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sidRPr="003D19A2">
        <w:rPr>
          <w:bCs/>
          <w:lang w:val="en-GB"/>
        </w:rPr>
        <w:t xml:space="preserve">Kant </w:t>
      </w:r>
      <w:r>
        <w:rPr>
          <w:bCs/>
          <w:lang w:val="en-GB"/>
        </w:rPr>
        <w:t>(</w:t>
      </w:r>
      <w:r>
        <w:rPr>
          <w:lang w:val="en-GB"/>
        </w:rPr>
        <w:t>note </w:t>
      </w:r>
      <w:r>
        <w:rPr>
          <w:lang w:val="en-GB"/>
        </w:rPr>
        <w:fldChar w:fldCharType="begin"/>
      </w:r>
      <w:r>
        <w:rPr>
          <w:lang w:val="en-GB"/>
        </w:rPr>
        <w:instrText xml:space="preserve"> NOTEREF _Ref520140348 \h  \* MERGEFORMAT </w:instrText>
      </w:r>
      <w:r>
        <w:rPr>
          <w:lang w:val="en-GB"/>
        </w:rPr>
      </w:r>
      <w:r>
        <w:rPr>
          <w:lang w:val="en-GB"/>
        </w:rPr>
        <w:fldChar w:fldCharType="separate"/>
      </w:r>
      <w:r w:rsidR="00F97B66">
        <w:rPr>
          <w:lang w:val="en-GB"/>
        </w:rPr>
        <w:t>13</w:t>
      </w:r>
      <w:r>
        <w:rPr>
          <w:lang w:val="en-GB"/>
        </w:rPr>
        <w:fldChar w:fldCharType="end"/>
      </w:r>
      <w:r>
        <w:rPr>
          <w:lang w:val="en-GB"/>
        </w:rPr>
        <w:t xml:space="preserve"> above) at</w:t>
      </w:r>
      <w:r w:rsidRPr="003D19A2">
        <w:rPr>
          <w:lang w:val="en-GB"/>
        </w:rPr>
        <w:t xml:space="preserve"> 107</w:t>
      </w:r>
      <w:r>
        <w:rPr>
          <w:lang w:val="en-GB"/>
        </w:rPr>
        <w:t xml:space="preserve">. See also </w:t>
      </w:r>
      <w:r w:rsidRPr="003D19A2">
        <w:rPr>
          <w:lang w:val="en-GB"/>
        </w:rPr>
        <w:t xml:space="preserve">Cornell &amp; Fuller </w:t>
      </w:r>
      <w:r>
        <w:rPr>
          <w:lang w:val="en-GB"/>
        </w:rPr>
        <w:t>(note </w:t>
      </w:r>
      <w:r>
        <w:rPr>
          <w:lang w:val="en-GB"/>
        </w:rPr>
        <w:fldChar w:fldCharType="begin"/>
      </w:r>
      <w:r>
        <w:rPr>
          <w:lang w:val="en-GB"/>
        </w:rPr>
        <w:instrText xml:space="preserve"> NOTEREF _Ref520142623 \h  \* MERGEFORMAT </w:instrText>
      </w:r>
      <w:r>
        <w:rPr>
          <w:lang w:val="en-GB"/>
        </w:rPr>
      </w:r>
      <w:r>
        <w:rPr>
          <w:lang w:val="en-GB"/>
        </w:rPr>
        <w:fldChar w:fldCharType="separate"/>
      </w:r>
      <w:r w:rsidR="00F97B66">
        <w:rPr>
          <w:lang w:val="en-GB"/>
        </w:rPr>
        <w:t>52</w:t>
      </w:r>
      <w:r>
        <w:rPr>
          <w:lang w:val="en-GB"/>
        </w:rPr>
        <w:fldChar w:fldCharType="end"/>
      </w:r>
      <w:r>
        <w:rPr>
          <w:lang w:val="en-GB"/>
        </w:rPr>
        <w:t xml:space="preserve"> above) at</w:t>
      </w:r>
      <w:r w:rsidRPr="003D19A2">
        <w:rPr>
          <w:iCs/>
          <w:lang w:val="en-GB"/>
        </w:rPr>
        <w:t xml:space="preserve"> 9</w:t>
      </w:r>
      <w:r>
        <w:rPr>
          <w:iCs/>
          <w:lang w:val="en-GB"/>
        </w:rPr>
        <w:t>.</w:t>
      </w:r>
    </w:p>
  </w:footnote>
  <w:footnote w:id="54">
    <w:p w:rsidR="00B613DB" w:rsidRPr="00903F85" w:rsidRDefault="00B613DB" w:rsidP="002F6072">
      <w:pPr>
        <w:pStyle w:val="FootnoteText"/>
      </w:pPr>
      <w:r>
        <w:rPr>
          <w:rStyle w:val="FootnoteReference"/>
        </w:rPr>
        <w:footnoteRef/>
      </w:r>
      <w:r>
        <w:t xml:space="preserve"> </w:t>
      </w:r>
      <w:r>
        <w:tab/>
      </w:r>
      <w:r>
        <w:rPr>
          <w:lang w:val="en-GB"/>
        </w:rPr>
        <w:t>Kant (note </w:t>
      </w:r>
      <w:r>
        <w:rPr>
          <w:lang w:val="en-GB"/>
        </w:rPr>
        <w:fldChar w:fldCharType="begin"/>
      </w:r>
      <w:r>
        <w:rPr>
          <w:lang w:val="en-GB"/>
        </w:rPr>
        <w:instrText xml:space="preserve"> NOTEREF _Ref520140348 \h  \* MERGEFORMAT </w:instrText>
      </w:r>
      <w:r>
        <w:rPr>
          <w:lang w:val="en-GB"/>
        </w:rPr>
      </w:r>
      <w:r>
        <w:rPr>
          <w:lang w:val="en-GB"/>
        </w:rPr>
        <w:fldChar w:fldCharType="separate"/>
      </w:r>
      <w:r w:rsidR="00F97B66">
        <w:rPr>
          <w:lang w:val="en-GB"/>
        </w:rPr>
        <w:t>13</w:t>
      </w:r>
      <w:r>
        <w:rPr>
          <w:lang w:val="en-GB"/>
        </w:rPr>
        <w:fldChar w:fldCharType="end"/>
      </w:r>
      <w:r>
        <w:rPr>
          <w:lang w:val="en-GB"/>
        </w:rPr>
        <w:t xml:space="preserve"> above) at</w:t>
      </w:r>
      <w:r w:rsidRPr="003D19A2">
        <w:rPr>
          <w:lang w:val="en-GB"/>
        </w:rPr>
        <w:t xml:space="preserve"> </w:t>
      </w:r>
      <w:r w:rsidRPr="003D19A2">
        <w:t xml:space="preserve">107. See also </w:t>
      </w:r>
      <w:r w:rsidRPr="003D19A2">
        <w:rPr>
          <w:bCs/>
        </w:rPr>
        <w:t xml:space="preserve">Cornell </w:t>
      </w:r>
      <w:r>
        <w:rPr>
          <w:bCs/>
        </w:rPr>
        <w:t>(note </w:t>
      </w:r>
      <w:r>
        <w:rPr>
          <w:bCs/>
        </w:rPr>
        <w:fldChar w:fldCharType="begin"/>
      </w:r>
      <w:r>
        <w:rPr>
          <w:bCs/>
        </w:rPr>
        <w:instrText xml:space="preserve"> NOTEREF _Ref480387249 \h  \* MERGEFORMAT </w:instrText>
      </w:r>
      <w:r>
        <w:rPr>
          <w:bCs/>
        </w:rPr>
      </w:r>
      <w:r>
        <w:rPr>
          <w:bCs/>
        </w:rPr>
        <w:fldChar w:fldCharType="separate"/>
      </w:r>
      <w:r w:rsidR="00F97B66">
        <w:rPr>
          <w:bCs/>
        </w:rPr>
        <w:t>49</w:t>
      </w:r>
      <w:r>
        <w:rPr>
          <w:bCs/>
        </w:rPr>
        <w:fldChar w:fldCharType="end"/>
      </w:r>
      <w:r>
        <w:rPr>
          <w:bCs/>
        </w:rPr>
        <w:t xml:space="preserve"> above) at</w:t>
      </w:r>
      <w:r w:rsidRPr="003D19A2">
        <w:rPr>
          <w:bCs/>
        </w:rPr>
        <w:t xml:space="preserve"> 25; </w:t>
      </w:r>
      <w:r>
        <w:rPr>
          <w:bCs/>
        </w:rPr>
        <w:t xml:space="preserve">A </w:t>
      </w:r>
      <w:r w:rsidRPr="003D19A2">
        <w:t xml:space="preserve">Wood </w:t>
      </w:r>
      <w:r w:rsidRPr="003D19A2">
        <w:rPr>
          <w:i/>
          <w:iCs/>
        </w:rPr>
        <w:t>Kant’s ethical thought</w:t>
      </w:r>
      <w:r w:rsidRPr="003D19A2">
        <w:t xml:space="preserve"> (1999) 172.</w:t>
      </w:r>
    </w:p>
  </w:footnote>
  <w:footnote w:id="55">
    <w:p w:rsidR="00B613DB" w:rsidRPr="003D19A2" w:rsidRDefault="00B613DB" w:rsidP="002F6072">
      <w:pPr>
        <w:pStyle w:val="FootnoteText"/>
      </w:pPr>
      <w:r w:rsidRPr="003D19A2">
        <w:rPr>
          <w:rStyle w:val="FootnoteReference"/>
          <w:lang w:val="en-GB"/>
        </w:rPr>
        <w:footnoteRef/>
      </w:r>
      <w:r w:rsidRPr="003D19A2">
        <w:t xml:space="preserve"> </w:t>
      </w:r>
      <w:r w:rsidRPr="003D19A2">
        <w:tab/>
      </w:r>
      <w:r w:rsidRPr="00B613DB">
        <w:t xml:space="preserve">R Johnson </w:t>
      </w:r>
      <w:r w:rsidRPr="00B613DB">
        <w:rPr>
          <w:i/>
        </w:rPr>
        <w:t>et al</w:t>
      </w:r>
      <w:r w:rsidRPr="00B613DB">
        <w:t xml:space="preserve"> ‘Kant’s moral philosophy’ in EN Zalta (ed) </w:t>
      </w:r>
      <w:r w:rsidRPr="00B613DB">
        <w:rPr>
          <w:i/>
          <w:iCs/>
        </w:rPr>
        <w:t>The Stanford encyclopedia of philosophy</w:t>
      </w:r>
      <w:r w:rsidRPr="00B613DB">
        <w:t xml:space="preserve"> (Spring ed, 2017) para 7. Paton’s version reads as follows: “[A]ct that your will can regard itself at the same time as making universal law through its maxim” (</w:t>
      </w:r>
      <w:r w:rsidRPr="00B613DB">
        <w:rPr>
          <w:lang w:val="en-GB"/>
        </w:rPr>
        <w:t>Kant (note </w:t>
      </w:r>
      <w:r w:rsidRPr="00B613DB">
        <w:rPr>
          <w:lang w:val="en-GB"/>
        </w:rPr>
        <w:fldChar w:fldCharType="begin"/>
      </w:r>
      <w:r w:rsidRPr="00B613DB">
        <w:rPr>
          <w:lang w:val="en-GB"/>
        </w:rPr>
        <w:instrText xml:space="preserve"> NOTEREF _Ref520140348 \h  \* MERGEFORMAT </w:instrText>
      </w:r>
      <w:r w:rsidRPr="00B613DB">
        <w:rPr>
          <w:lang w:val="en-GB"/>
        </w:rPr>
      </w:r>
      <w:r w:rsidRPr="00B613DB">
        <w:rPr>
          <w:lang w:val="en-GB"/>
        </w:rPr>
        <w:fldChar w:fldCharType="separate"/>
      </w:r>
      <w:r w:rsidR="00F97B66">
        <w:rPr>
          <w:lang w:val="en-GB"/>
        </w:rPr>
        <w:t>13</w:t>
      </w:r>
      <w:r w:rsidRPr="00B613DB">
        <w:rPr>
          <w:lang w:val="en-GB"/>
        </w:rPr>
        <w:fldChar w:fldCharType="end"/>
      </w:r>
      <w:r w:rsidRPr="00B613DB">
        <w:rPr>
          <w:lang w:val="en-GB"/>
        </w:rPr>
        <w:t xml:space="preserve"> above) at</w:t>
      </w:r>
      <w:r w:rsidRPr="00B613DB">
        <w:t xml:space="preserve"> 33).</w:t>
      </w:r>
      <w:r w:rsidRPr="003D19A2">
        <w:t xml:space="preserve"> </w:t>
      </w:r>
    </w:p>
  </w:footnote>
  <w:footnote w:id="56">
    <w:p w:rsidR="00B613DB" w:rsidRPr="00891077" w:rsidRDefault="00B613DB" w:rsidP="002F6072">
      <w:pPr>
        <w:pStyle w:val="FootnoteText"/>
      </w:pPr>
      <w:r>
        <w:rPr>
          <w:rStyle w:val="FootnoteReference"/>
        </w:rPr>
        <w:footnoteRef/>
      </w:r>
      <w:r>
        <w:t xml:space="preserve"> </w:t>
      </w:r>
      <w:r>
        <w:tab/>
      </w:r>
      <w:r w:rsidRPr="003D19A2">
        <w:t xml:space="preserve">For Kant, a universal law refers to “an objective principle valid for every rational being; and it is a principle on which he </w:t>
      </w:r>
      <w:r w:rsidRPr="003D19A2">
        <w:rPr>
          <w:i/>
          <w:iCs/>
        </w:rPr>
        <w:t>ought to act</w:t>
      </w:r>
      <w:r w:rsidRPr="003D19A2">
        <w:t xml:space="preserve"> – that is, an imperative”</w:t>
      </w:r>
      <w:r>
        <w:t xml:space="preserve"> (</w:t>
      </w:r>
      <w:r>
        <w:rPr>
          <w:lang w:val="en-GB"/>
        </w:rPr>
        <w:t>Ibid at</w:t>
      </w:r>
      <w:r w:rsidRPr="003D19A2">
        <w:rPr>
          <w:lang w:val="en-GB"/>
        </w:rPr>
        <w:t xml:space="preserve"> 84</w:t>
      </w:r>
      <w:r>
        <w:rPr>
          <w:lang w:val="en-GB"/>
        </w:rPr>
        <w:t>). In other words, a universal law is a moral law.</w:t>
      </w:r>
    </w:p>
  </w:footnote>
  <w:footnote w:id="57">
    <w:p w:rsidR="00B613DB" w:rsidRDefault="00B613DB" w:rsidP="002F6072">
      <w:pPr>
        <w:pStyle w:val="FootnoteText"/>
      </w:pPr>
      <w:r>
        <w:rPr>
          <w:rStyle w:val="FootnoteReference"/>
        </w:rPr>
        <w:footnoteRef/>
      </w:r>
      <w:r>
        <w:t xml:space="preserve"> </w:t>
      </w:r>
      <w:r>
        <w:tab/>
      </w:r>
      <w:r>
        <w:rPr>
          <w:lang w:val="en-GB"/>
        </w:rPr>
        <w:t>Ibid</w:t>
      </w:r>
      <w:r w:rsidRPr="003D19A2">
        <w:rPr>
          <w:lang w:val="en-GB"/>
        </w:rPr>
        <w:t xml:space="preserve"> 107-108</w:t>
      </w:r>
      <w:r>
        <w:rPr>
          <w:lang w:val="en-GB"/>
        </w:rPr>
        <w:t>.</w:t>
      </w:r>
    </w:p>
  </w:footnote>
  <w:footnote w:id="58">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Pr>
          <w:lang w:val="en-GB"/>
        </w:rPr>
        <w:t xml:space="preserve">D </w:t>
      </w:r>
      <w:r w:rsidRPr="003D19A2">
        <w:rPr>
          <w:bCs/>
          <w:lang w:val="en-GB"/>
        </w:rPr>
        <w:t>Cornell</w:t>
      </w:r>
      <w:r>
        <w:rPr>
          <w:bCs/>
          <w:lang w:val="en-GB"/>
        </w:rPr>
        <w:t xml:space="preserve"> ‘A</w:t>
      </w:r>
      <w:r w:rsidRPr="003D19A2">
        <w:rPr>
          <w:bCs/>
          <w:lang w:val="en-GB"/>
        </w:rPr>
        <w:t xml:space="preserve"> </w:t>
      </w:r>
      <w:r>
        <w:rPr>
          <w:bCs/>
          <w:lang w:val="en-GB"/>
        </w:rPr>
        <w:t>call for a nuanced constitutional jurisprudence: Ubuntu, dignity, and reconciliation’ (</w:t>
      </w:r>
      <w:r w:rsidRPr="003D19A2">
        <w:rPr>
          <w:bCs/>
          <w:lang w:val="en-GB"/>
        </w:rPr>
        <w:t>2004</w:t>
      </w:r>
      <w:r>
        <w:rPr>
          <w:bCs/>
          <w:lang w:val="en-GB"/>
        </w:rPr>
        <w:t>) 19</w:t>
      </w:r>
      <w:r w:rsidRPr="003D19A2">
        <w:rPr>
          <w:bCs/>
          <w:lang w:val="en-GB"/>
        </w:rPr>
        <w:t xml:space="preserve"> </w:t>
      </w:r>
      <w:r w:rsidRPr="003D19A2">
        <w:rPr>
          <w:bCs/>
          <w:i/>
          <w:iCs/>
          <w:lang w:val="en-GB"/>
        </w:rPr>
        <w:t>S</w:t>
      </w:r>
      <w:r>
        <w:rPr>
          <w:bCs/>
          <w:i/>
          <w:iCs/>
          <w:lang w:val="en-GB"/>
        </w:rPr>
        <w:t xml:space="preserve">outh </w:t>
      </w:r>
      <w:r w:rsidRPr="003D19A2">
        <w:rPr>
          <w:bCs/>
          <w:i/>
          <w:iCs/>
          <w:lang w:val="en-GB"/>
        </w:rPr>
        <w:t>A</w:t>
      </w:r>
      <w:r>
        <w:rPr>
          <w:bCs/>
          <w:i/>
          <w:iCs/>
          <w:lang w:val="en-GB"/>
        </w:rPr>
        <w:t xml:space="preserve">frican </w:t>
      </w:r>
      <w:r w:rsidRPr="003D19A2">
        <w:rPr>
          <w:bCs/>
          <w:i/>
          <w:iCs/>
          <w:lang w:val="en-GB"/>
        </w:rPr>
        <w:t>P</w:t>
      </w:r>
      <w:r>
        <w:rPr>
          <w:bCs/>
          <w:i/>
          <w:iCs/>
          <w:lang w:val="en-GB"/>
        </w:rPr>
        <w:t xml:space="preserve">ublic </w:t>
      </w:r>
      <w:r w:rsidRPr="003D19A2">
        <w:rPr>
          <w:bCs/>
          <w:i/>
          <w:iCs/>
          <w:lang w:val="en-GB"/>
        </w:rPr>
        <w:t>L</w:t>
      </w:r>
      <w:r>
        <w:rPr>
          <w:bCs/>
          <w:i/>
          <w:iCs/>
          <w:lang w:val="en-GB"/>
        </w:rPr>
        <w:t>aw</w:t>
      </w:r>
      <w:r>
        <w:rPr>
          <w:bCs/>
          <w:iCs/>
          <w:lang w:val="en-GB"/>
        </w:rPr>
        <w:t xml:space="preserve"> </w:t>
      </w:r>
      <w:r w:rsidRPr="003D19A2">
        <w:rPr>
          <w:bCs/>
          <w:lang w:val="en-GB"/>
        </w:rPr>
        <w:t xml:space="preserve">666 (referred to with approval by </w:t>
      </w:r>
      <w:r w:rsidRPr="003D19A2">
        <w:rPr>
          <w:lang w:val="en-GB"/>
        </w:rPr>
        <w:t xml:space="preserve">Barnard </w:t>
      </w:r>
      <w:r>
        <w:rPr>
          <w:iCs/>
          <w:lang w:val="en-GB"/>
        </w:rPr>
        <w:t>(note </w:t>
      </w:r>
      <w:r>
        <w:rPr>
          <w:iCs/>
          <w:lang w:val="en-GB"/>
        </w:rPr>
        <w:fldChar w:fldCharType="begin"/>
      </w:r>
      <w:r>
        <w:rPr>
          <w:iCs/>
          <w:lang w:val="en-GB"/>
        </w:rPr>
        <w:instrText xml:space="preserve"> NOTEREF _Ref520141027 \h  \* MERGEFORMAT </w:instrText>
      </w:r>
      <w:r>
        <w:rPr>
          <w:iCs/>
          <w:lang w:val="en-GB"/>
        </w:rPr>
      </w:r>
      <w:r>
        <w:rPr>
          <w:iCs/>
          <w:lang w:val="en-GB"/>
        </w:rPr>
        <w:fldChar w:fldCharType="separate"/>
      </w:r>
      <w:r w:rsidR="00F97B66">
        <w:rPr>
          <w:iCs/>
          <w:lang w:val="en-GB"/>
        </w:rPr>
        <w:t>16</w:t>
      </w:r>
      <w:r>
        <w:rPr>
          <w:iCs/>
          <w:lang w:val="en-GB"/>
        </w:rPr>
        <w:fldChar w:fldCharType="end"/>
      </w:r>
      <w:r>
        <w:rPr>
          <w:iCs/>
          <w:lang w:val="en-GB"/>
        </w:rPr>
        <w:t xml:space="preserve"> above) at</w:t>
      </w:r>
      <w:r w:rsidRPr="003D19A2">
        <w:rPr>
          <w:lang w:val="en-GB"/>
        </w:rPr>
        <w:t xml:space="preserve"> 235-236 &amp; </w:t>
      </w:r>
      <w:r>
        <w:rPr>
          <w:lang w:val="en-GB"/>
        </w:rPr>
        <w:t xml:space="preserve">AJ </w:t>
      </w:r>
      <w:r w:rsidRPr="003D19A2">
        <w:rPr>
          <w:bCs/>
          <w:lang w:val="en-GB"/>
        </w:rPr>
        <w:t>Barnard</w:t>
      </w:r>
      <w:r>
        <w:rPr>
          <w:bCs/>
          <w:lang w:val="en-GB"/>
        </w:rPr>
        <w:t xml:space="preserve"> ‘A different way of saying: on stories, text, a critical legal argument for contractual justice and the ethical element of contract in South Africa’</w:t>
      </w:r>
      <w:r w:rsidRPr="003D19A2">
        <w:rPr>
          <w:bCs/>
          <w:lang w:val="en-GB"/>
        </w:rPr>
        <w:t xml:space="preserve"> </w:t>
      </w:r>
      <w:r>
        <w:rPr>
          <w:bCs/>
          <w:lang w:val="en-GB"/>
        </w:rPr>
        <w:t>(</w:t>
      </w:r>
      <w:r w:rsidRPr="003D19A2">
        <w:rPr>
          <w:bCs/>
          <w:lang w:val="en-GB"/>
        </w:rPr>
        <w:t>2005</w:t>
      </w:r>
      <w:r>
        <w:rPr>
          <w:bCs/>
          <w:lang w:val="en-GB"/>
        </w:rPr>
        <w:t>) 21</w:t>
      </w:r>
      <w:r w:rsidRPr="003D19A2">
        <w:rPr>
          <w:bCs/>
          <w:lang w:val="en-GB"/>
        </w:rPr>
        <w:t xml:space="preserve"> </w:t>
      </w:r>
      <w:r w:rsidRPr="003D19A2">
        <w:rPr>
          <w:bCs/>
          <w:i/>
          <w:iCs/>
          <w:lang w:val="en-GB"/>
        </w:rPr>
        <w:t>S</w:t>
      </w:r>
      <w:r>
        <w:rPr>
          <w:bCs/>
          <w:i/>
          <w:iCs/>
          <w:lang w:val="en-GB"/>
        </w:rPr>
        <w:t xml:space="preserve">outh </w:t>
      </w:r>
      <w:r w:rsidRPr="003D19A2">
        <w:rPr>
          <w:bCs/>
          <w:i/>
          <w:iCs/>
          <w:lang w:val="en-GB"/>
        </w:rPr>
        <w:t>A</w:t>
      </w:r>
      <w:r>
        <w:rPr>
          <w:bCs/>
          <w:i/>
          <w:iCs/>
          <w:lang w:val="en-GB"/>
        </w:rPr>
        <w:t xml:space="preserve">frican </w:t>
      </w:r>
      <w:r w:rsidRPr="003D19A2">
        <w:rPr>
          <w:bCs/>
          <w:i/>
          <w:iCs/>
          <w:lang w:val="en-GB"/>
        </w:rPr>
        <w:t>J</w:t>
      </w:r>
      <w:r>
        <w:rPr>
          <w:bCs/>
          <w:i/>
          <w:iCs/>
          <w:lang w:val="en-GB"/>
        </w:rPr>
        <w:t xml:space="preserve">ournal on </w:t>
      </w:r>
      <w:r w:rsidRPr="003D19A2">
        <w:rPr>
          <w:bCs/>
          <w:i/>
          <w:iCs/>
          <w:lang w:val="en-GB"/>
        </w:rPr>
        <w:t>H</w:t>
      </w:r>
      <w:r>
        <w:rPr>
          <w:bCs/>
          <w:i/>
          <w:iCs/>
          <w:lang w:val="en-GB"/>
        </w:rPr>
        <w:t xml:space="preserve">uman </w:t>
      </w:r>
      <w:r w:rsidRPr="003D19A2">
        <w:rPr>
          <w:bCs/>
          <w:i/>
          <w:iCs/>
          <w:lang w:val="en-GB"/>
        </w:rPr>
        <w:t>R</w:t>
      </w:r>
      <w:r>
        <w:rPr>
          <w:bCs/>
          <w:i/>
          <w:iCs/>
          <w:lang w:val="en-GB"/>
        </w:rPr>
        <w:t>ights</w:t>
      </w:r>
      <w:r>
        <w:rPr>
          <w:bCs/>
          <w:iCs/>
          <w:lang w:val="en-GB"/>
        </w:rPr>
        <w:t xml:space="preserve"> 278,</w:t>
      </w:r>
      <w:r w:rsidRPr="003D19A2">
        <w:rPr>
          <w:bCs/>
          <w:lang w:val="en-GB"/>
        </w:rPr>
        <w:t xml:space="preserve"> 288-289</w:t>
      </w:r>
      <w:r w:rsidRPr="003D19A2">
        <w:rPr>
          <w:lang w:val="en-GB"/>
        </w:rPr>
        <w:t>).</w:t>
      </w:r>
    </w:p>
  </w:footnote>
  <w:footnote w:id="59">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t>Cf the discussion of Kantian dignity by Beyleveld and Brownsword in the text at n </w:t>
      </w:r>
      <w:r w:rsidRPr="003D19A2">
        <w:rPr>
          <w:lang w:val="en-GB"/>
        </w:rPr>
        <w:fldChar w:fldCharType="begin"/>
      </w:r>
      <w:r w:rsidRPr="003D19A2">
        <w:rPr>
          <w:lang w:val="en-GB"/>
        </w:rPr>
        <w:instrText xml:space="preserve"> NOTEREF _Ref479675403 \h  \* MERGEFORMAT </w:instrText>
      </w:r>
      <w:r w:rsidRPr="003D19A2">
        <w:rPr>
          <w:lang w:val="en-GB"/>
        </w:rPr>
      </w:r>
      <w:r w:rsidRPr="003D19A2">
        <w:rPr>
          <w:lang w:val="en-GB"/>
        </w:rPr>
        <w:fldChar w:fldCharType="separate"/>
      </w:r>
      <w:r w:rsidR="00F97B66">
        <w:rPr>
          <w:lang w:val="en-GB"/>
        </w:rPr>
        <w:t>15</w:t>
      </w:r>
      <w:r w:rsidRPr="003D19A2">
        <w:rPr>
          <w:lang w:val="en-GB"/>
        </w:rPr>
        <w:fldChar w:fldCharType="end"/>
      </w:r>
      <w:r w:rsidRPr="003D19A2">
        <w:rPr>
          <w:lang w:val="en-GB"/>
        </w:rPr>
        <w:t xml:space="preserve"> </w:t>
      </w:r>
      <w:r w:rsidRPr="00BA014C">
        <w:rPr>
          <w:iCs/>
          <w:lang w:val="en-GB"/>
        </w:rPr>
        <w:t>above</w:t>
      </w:r>
      <w:r w:rsidRPr="003D19A2">
        <w:rPr>
          <w:lang w:val="en-GB"/>
        </w:rPr>
        <w:t>.</w:t>
      </w:r>
    </w:p>
  </w:footnote>
  <w:footnote w:id="60">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t xml:space="preserve">Beyleveld &amp; Brownsword </w:t>
      </w:r>
      <w:r>
        <w:rPr>
          <w:iCs/>
          <w:lang w:val="en-GB"/>
        </w:rPr>
        <w:t>(note </w:t>
      </w:r>
      <w:r>
        <w:rPr>
          <w:iCs/>
          <w:lang w:val="en-GB"/>
        </w:rPr>
        <w:fldChar w:fldCharType="begin"/>
      </w:r>
      <w:r>
        <w:rPr>
          <w:iCs/>
          <w:lang w:val="en-GB"/>
        </w:rPr>
        <w:instrText xml:space="preserve"> NOTEREF _Ref520139007 \h  \* MERGEFORMAT </w:instrText>
      </w:r>
      <w:r>
        <w:rPr>
          <w:iCs/>
          <w:lang w:val="en-GB"/>
        </w:rPr>
      </w:r>
      <w:r>
        <w:rPr>
          <w:iCs/>
          <w:lang w:val="en-GB"/>
        </w:rPr>
        <w:fldChar w:fldCharType="separate"/>
      </w:r>
      <w:r w:rsidR="00F97B66">
        <w:rPr>
          <w:iCs/>
          <w:lang w:val="en-GB"/>
        </w:rPr>
        <w:t>8</w:t>
      </w:r>
      <w:r>
        <w:rPr>
          <w:iCs/>
          <w:lang w:val="en-GB"/>
        </w:rPr>
        <w:fldChar w:fldCharType="end"/>
      </w:r>
      <w:r>
        <w:rPr>
          <w:iCs/>
          <w:lang w:val="en-GB"/>
        </w:rPr>
        <w:t xml:space="preserve"> above) at</w:t>
      </w:r>
      <w:r w:rsidRPr="003D19A2">
        <w:rPr>
          <w:lang w:val="en-GB"/>
        </w:rPr>
        <w:t xml:space="preserve"> 65.</w:t>
      </w:r>
    </w:p>
  </w:footnote>
  <w:footnote w:id="61">
    <w:p w:rsidR="00B613DB" w:rsidRPr="00B11D34" w:rsidRDefault="00B613DB" w:rsidP="002F6072">
      <w:pPr>
        <w:pStyle w:val="FootnoteText"/>
      </w:pPr>
      <w:r>
        <w:rPr>
          <w:rStyle w:val="FootnoteReference"/>
        </w:rPr>
        <w:footnoteRef/>
      </w:r>
      <w:r>
        <w:t xml:space="preserve"> </w:t>
      </w:r>
      <w:r>
        <w:tab/>
      </w:r>
      <w:r w:rsidRPr="003D19A2">
        <w:rPr>
          <w:lang w:val="en-GB"/>
        </w:rPr>
        <w:t>As quoted in the text at n </w:t>
      </w:r>
      <w:r w:rsidRPr="003D19A2">
        <w:rPr>
          <w:lang w:val="en-GB"/>
        </w:rPr>
        <w:fldChar w:fldCharType="begin"/>
      </w:r>
      <w:r w:rsidRPr="003D19A2">
        <w:rPr>
          <w:lang w:val="en-GB"/>
        </w:rPr>
        <w:instrText xml:space="preserve"> NOTEREF _Ref475431066 \h  \* MERGEFORMAT </w:instrText>
      </w:r>
      <w:r w:rsidRPr="003D19A2">
        <w:rPr>
          <w:lang w:val="en-GB"/>
        </w:rPr>
      </w:r>
      <w:r w:rsidRPr="003D19A2">
        <w:rPr>
          <w:lang w:val="en-GB"/>
        </w:rPr>
        <w:fldChar w:fldCharType="separate"/>
      </w:r>
      <w:r w:rsidR="00F97B66">
        <w:rPr>
          <w:lang w:val="en-GB"/>
        </w:rPr>
        <w:t>18</w:t>
      </w:r>
      <w:r w:rsidRPr="003D19A2">
        <w:rPr>
          <w:lang w:val="en-GB"/>
        </w:rPr>
        <w:fldChar w:fldCharType="end"/>
      </w:r>
      <w:r w:rsidRPr="003D19A2">
        <w:rPr>
          <w:lang w:val="en-GB"/>
        </w:rPr>
        <w:t xml:space="preserve"> </w:t>
      </w:r>
      <w:r w:rsidRPr="00BA014C">
        <w:rPr>
          <w:iCs/>
          <w:lang w:val="en-GB"/>
        </w:rPr>
        <w:t>above</w:t>
      </w:r>
      <w:r>
        <w:rPr>
          <w:iCs/>
          <w:lang w:val="en-GB"/>
        </w:rPr>
        <w:t>.</w:t>
      </w:r>
    </w:p>
  </w:footnote>
  <w:footnote w:id="62">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Pr>
          <w:lang w:val="en-GB"/>
        </w:rPr>
        <w:t xml:space="preserve">A </w:t>
      </w:r>
      <w:r w:rsidRPr="003D19A2">
        <w:rPr>
          <w:lang w:val="en-GB"/>
        </w:rPr>
        <w:t>Wood</w:t>
      </w:r>
      <w:r>
        <w:rPr>
          <w:lang w:val="en-GB"/>
        </w:rPr>
        <w:t xml:space="preserve"> ‘Human dignity, right and the realm of ends’</w:t>
      </w:r>
      <w:r w:rsidRPr="003D19A2">
        <w:rPr>
          <w:lang w:val="en-GB"/>
        </w:rPr>
        <w:t xml:space="preserve"> </w:t>
      </w:r>
      <w:r>
        <w:rPr>
          <w:lang w:val="en-GB"/>
        </w:rPr>
        <w:t>(</w:t>
      </w:r>
      <w:r w:rsidRPr="003D19A2">
        <w:rPr>
          <w:lang w:val="en-GB"/>
        </w:rPr>
        <w:t>2008</w:t>
      </w:r>
      <w:r>
        <w:rPr>
          <w:lang w:val="en-GB"/>
        </w:rPr>
        <w:t>)</w:t>
      </w:r>
      <w:r w:rsidRPr="003D19A2">
        <w:rPr>
          <w:lang w:val="en-GB"/>
        </w:rPr>
        <w:t xml:space="preserve"> </w:t>
      </w:r>
      <w:r w:rsidRPr="003D19A2">
        <w:rPr>
          <w:i/>
          <w:iCs/>
          <w:lang w:val="en-GB"/>
        </w:rPr>
        <w:t xml:space="preserve">Acta Juridica </w:t>
      </w:r>
      <w:r>
        <w:rPr>
          <w:iCs/>
          <w:lang w:val="en-GB"/>
        </w:rPr>
        <w:t xml:space="preserve">47, </w:t>
      </w:r>
      <w:r w:rsidRPr="003D19A2">
        <w:rPr>
          <w:lang w:val="en-GB"/>
        </w:rPr>
        <w:t xml:space="preserve">53. </w:t>
      </w:r>
    </w:p>
  </w:footnote>
  <w:footnote w:id="63">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t xml:space="preserve">As explained by Wood </w:t>
      </w:r>
      <w:r>
        <w:rPr>
          <w:lang w:val="en-GB"/>
        </w:rPr>
        <w:t>(note </w:t>
      </w:r>
      <w:r>
        <w:rPr>
          <w:lang w:val="en-GB"/>
        </w:rPr>
        <w:fldChar w:fldCharType="begin"/>
      </w:r>
      <w:r>
        <w:rPr>
          <w:lang w:val="en-GB"/>
        </w:rPr>
        <w:instrText xml:space="preserve"> NOTEREF _Ref480215548 \h  \* MERGEFORMAT </w:instrText>
      </w:r>
      <w:r>
        <w:rPr>
          <w:lang w:val="en-GB"/>
        </w:rPr>
      </w:r>
      <w:r>
        <w:rPr>
          <w:lang w:val="en-GB"/>
        </w:rPr>
        <w:fldChar w:fldCharType="separate"/>
      </w:r>
      <w:r w:rsidR="00F97B66">
        <w:rPr>
          <w:lang w:val="en-GB"/>
        </w:rPr>
        <w:t>62</w:t>
      </w:r>
      <w:r>
        <w:rPr>
          <w:lang w:val="en-GB"/>
        </w:rPr>
        <w:fldChar w:fldCharType="end"/>
      </w:r>
      <w:r>
        <w:rPr>
          <w:lang w:val="en-GB"/>
        </w:rPr>
        <w:t xml:space="preserve"> above) at</w:t>
      </w:r>
      <w:r w:rsidRPr="003D19A2">
        <w:rPr>
          <w:i/>
          <w:iCs/>
          <w:lang w:val="en-GB"/>
        </w:rPr>
        <w:t xml:space="preserve"> </w:t>
      </w:r>
      <w:r w:rsidRPr="003D19A2">
        <w:rPr>
          <w:lang w:val="en-GB"/>
        </w:rPr>
        <w:t>53: “It is humanity – our capacity to set ends, choose means to them and combine them into an idea of happiness – that is an end in itself and that the Formula of Humanity [the Formula of the End in Itself] declares that we must always treat as an end, never merely as a means.”</w:t>
      </w:r>
    </w:p>
  </w:footnote>
  <w:footnote w:id="64">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Pr>
          <w:lang w:val="en-GB"/>
        </w:rPr>
        <w:t>Ibid at</w:t>
      </w:r>
      <w:r w:rsidRPr="003D19A2">
        <w:rPr>
          <w:lang w:val="en-GB"/>
        </w:rPr>
        <w:t xml:space="preserve"> 52. </w:t>
      </w:r>
    </w:p>
  </w:footnote>
  <w:footnote w:id="65">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t>Cf the discussion on Cornell’s interpretation of Kantian dignity and freedom in the text at n </w:t>
      </w:r>
      <w:r w:rsidRPr="003D19A2">
        <w:rPr>
          <w:lang w:val="en-GB"/>
        </w:rPr>
        <w:fldChar w:fldCharType="begin"/>
      </w:r>
      <w:r w:rsidRPr="003D19A2">
        <w:rPr>
          <w:lang w:val="en-GB"/>
        </w:rPr>
        <w:instrText xml:space="preserve"> NOTEREF _Ref480387249 \h </w:instrText>
      </w:r>
      <w:r>
        <w:rPr>
          <w:lang w:val="en-GB"/>
        </w:rPr>
        <w:instrText xml:space="preserve"> \* MERGEFORMAT </w:instrText>
      </w:r>
      <w:r w:rsidRPr="003D19A2">
        <w:rPr>
          <w:lang w:val="en-GB"/>
        </w:rPr>
      </w:r>
      <w:r w:rsidRPr="003D19A2">
        <w:rPr>
          <w:lang w:val="en-GB"/>
        </w:rPr>
        <w:fldChar w:fldCharType="separate"/>
      </w:r>
      <w:r w:rsidR="00F97B66">
        <w:rPr>
          <w:lang w:val="en-GB"/>
        </w:rPr>
        <w:t>49</w:t>
      </w:r>
      <w:r w:rsidRPr="003D19A2">
        <w:rPr>
          <w:lang w:val="en-GB"/>
        </w:rPr>
        <w:fldChar w:fldCharType="end"/>
      </w:r>
      <w:r w:rsidRPr="003D19A2">
        <w:rPr>
          <w:lang w:val="en-GB"/>
        </w:rPr>
        <w:t xml:space="preserve"> </w:t>
      </w:r>
      <w:r>
        <w:rPr>
          <w:iCs/>
          <w:lang w:val="en-GB"/>
        </w:rPr>
        <w:t>above</w:t>
      </w:r>
      <w:r w:rsidRPr="003D19A2">
        <w:rPr>
          <w:lang w:val="en-GB"/>
        </w:rPr>
        <w:t>.</w:t>
      </w:r>
    </w:p>
  </w:footnote>
  <w:footnote w:id="66">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Pr>
          <w:lang w:val="en-GB"/>
        </w:rPr>
        <w:t xml:space="preserve">S </w:t>
      </w:r>
      <w:r w:rsidRPr="003D19A2">
        <w:rPr>
          <w:lang w:val="en-GB"/>
        </w:rPr>
        <w:t xml:space="preserve">Woolman </w:t>
      </w:r>
      <w:r>
        <w:rPr>
          <w:lang w:val="en-GB"/>
        </w:rPr>
        <w:t>‘</w:t>
      </w:r>
      <w:r w:rsidRPr="003D19A2">
        <w:rPr>
          <w:lang w:val="en-GB"/>
        </w:rPr>
        <w:t>Dignity</w:t>
      </w:r>
      <w:r>
        <w:rPr>
          <w:lang w:val="en-GB"/>
        </w:rPr>
        <w:t>’</w:t>
      </w:r>
      <w:r w:rsidRPr="003D19A2">
        <w:rPr>
          <w:lang w:val="en-GB"/>
        </w:rPr>
        <w:t xml:space="preserve"> in </w:t>
      </w:r>
      <w:r>
        <w:rPr>
          <w:lang w:val="en-GB"/>
        </w:rPr>
        <w:t xml:space="preserve">S </w:t>
      </w:r>
      <w:r w:rsidRPr="003D19A2">
        <w:rPr>
          <w:lang w:val="en-GB"/>
        </w:rPr>
        <w:t xml:space="preserve">Woolman &amp; </w:t>
      </w:r>
      <w:r>
        <w:rPr>
          <w:lang w:val="en-GB"/>
        </w:rPr>
        <w:t xml:space="preserve">M </w:t>
      </w:r>
      <w:r w:rsidRPr="003D19A2">
        <w:rPr>
          <w:lang w:val="en-GB"/>
        </w:rPr>
        <w:t xml:space="preserve">Bishop (eds) </w:t>
      </w:r>
      <w:r>
        <w:rPr>
          <w:i/>
          <w:iCs/>
          <w:lang w:val="en-GB"/>
        </w:rPr>
        <w:t xml:space="preserve">Constitutional law of South Africa </w:t>
      </w:r>
      <w:r w:rsidRPr="003D19A2">
        <w:rPr>
          <w:lang w:val="en-GB"/>
        </w:rPr>
        <w:t>(</w:t>
      </w:r>
      <w:r>
        <w:rPr>
          <w:lang w:val="en-GB"/>
        </w:rPr>
        <w:t>2</w:t>
      </w:r>
      <w:r w:rsidRPr="00BA014C">
        <w:rPr>
          <w:vertAlign w:val="superscript"/>
          <w:lang w:val="en-GB"/>
        </w:rPr>
        <w:t>nd</w:t>
      </w:r>
      <w:r>
        <w:rPr>
          <w:lang w:val="en-GB"/>
        </w:rPr>
        <w:t xml:space="preserve"> Edition, Revision Service 6, </w:t>
      </w:r>
      <w:r w:rsidRPr="003D19A2">
        <w:rPr>
          <w:lang w:val="en-GB"/>
        </w:rPr>
        <w:t>2014) para 36.2(</w:t>
      </w:r>
      <w:r w:rsidRPr="003D19A2">
        <w:rPr>
          <w:i/>
          <w:iCs/>
          <w:lang w:val="en-GB"/>
        </w:rPr>
        <w:t>c</w:t>
      </w:r>
      <w:r w:rsidRPr="003D19A2">
        <w:rPr>
          <w:lang w:val="en-GB"/>
        </w:rPr>
        <w:t>).</w:t>
      </w:r>
    </w:p>
  </w:footnote>
  <w:footnote w:id="67">
    <w:p w:rsidR="00B613DB" w:rsidRDefault="00B613DB" w:rsidP="002F6072">
      <w:pPr>
        <w:pStyle w:val="FootnoteText"/>
      </w:pPr>
      <w:r>
        <w:rPr>
          <w:rStyle w:val="FootnoteReference"/>
        </w:rPr>
        <w:footnoteRef/>
      </w:r>
      <w:r>
        <w:t xml:space="preserve"> </w:t>
      </w:r>
      <w:r>
        <w:tab/>
        <w:t>Kant</w:t>
      </w:r>
      <w:r>
        <w:rPr>
          <w:lang w:val="en-GB"/>
        </w:rPr>
        <w:t xml:space="preserve"> (note </w:t>
      </w:r>
      <w:r>
        <w:rPr>
          <w:lang w:val="en-GB"/>
        </w:rPr>
        <w:fldChar w:fldCharType="begin"/>
      </w:r>
      <w:r>
        <w:rPr>
          <w:lang w:val="en-GB"/>
        </w:rPr>
        <w:instrText xml:space="preserve"> NOTEREF _Ref520140348 \h  \* MERGEFORMAT </w:instrText>
      </w:r>
      <w:r>
        <w:rPr>
          <w:lang w:val="en-GB"/>
        </w:rPr>
      </w:r>
      <w:r>
        <w:rPr>
          <w:lang w:val="en-GB"/>
        </w:rPr>
        <w:fldChar w:fldCharType="separate"/>
      </w:r>
      <w:r w:rsidR="00F97B66">
        <w:rPr>
          <w:lang w:val="en-GB"/>
        </w:rPr>
        <w:t>13</w:t>
      </w:r>
      <w:r>
        <w:rPr>
          <w:lang w:val="en-GB"/>
        </w:rPr>
        <w:fldChar w:fldCharType="end"/>
      </w:r>
      <w:r>
        <w:rPr>
          <w:lang w:val="en-GB"/>
        </w:rPr>
        <w:t xml:space="preserve"> above) at 95</w:t>
      </w:r>
      <w:r w:rsidRPr="003D19A2">
        <w:rPr>
          <w:lang w:val="en-GB"/>
        </w:rPr>
        <w:t xml:space="preserve"> </w:t>
      </w:r>
      <w:r w:rsidRPr="003D19A2">
        <w:t xml:space="preserve">states that </w:t>
      </w:r>
      <w:r>
        <w:t>the hypothetical “kingdom of ends”</w:t>
      </w:r>
      <w:r w:rsidRPr="003D19A2">
        <w:t xml:space="preserve"> refers to “a systematic union of different rational beings under common laws”</w:t>
      </w:r>
      <w:r>
        <w:rPr>
          <w:lang w:val="en-GB"/>
        </w:rPr>
        <w:t>.</w:t>
      </w:r>
    </w:p>
  </w:footnote>
  <w:footnote w:id="68">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t xml:space="preserve">Cornell </w:t>
      </w:r>
      <w:r>
        <w:rPr>
          <w:bCs/>
        </w:rPr>
        <w:t>(note </w:t>
      </w:r>
      <w:r>
        <w:rPr>
          <w:bCs/>
        </w:rPr>
        <w:fldChar w:fldCharType="begin"/>
      </w:r>
      <w:r>
        <w:rPr>
          <w:bCs/>
        </w:rPr>
        <w:instrText xml:space="preserve"> NOTEREF _Ref480387249 \h  \* MERGEFORMAT </w:instrText>
      </w:r>
      <w:r>
        <w:rPr>
          <w:bCs/>
        </w:rPr>
      </w:r>
      <w:r>
        <w:rPr>
          <w:bCs/>
        </w:rPr>
        <w:fldChar w:fldCharType="separate"/>
      </w:r>
      <w:r w:rsidR="00F97B66">
        <w:rPr>
          <w:bCs/>
        </w:rPr>
        <w:t>49</w:t>
      </w:r>
      <w:r>
        <w:rPr>
          <w:bCs/>
        </w:rPr>
        <w:fldChar w:fldCharType="end"/>
      </w:r>
      <w:r>
        <w:rPr>
          <w:bCs/>
        </w:rPr>
        <w:t xml:space="preserve"> above) at</w:t>
      </w:r>
      <w:r w:rsidRPr="003D19A2">
        <w:rPr>
          <w:bCs/>
        </w:rPr>
        <w:t xml:space="preserve"> </w:t>
      </w:r>
      <w:r w:rsidRPr="003D19A2">
        <w:rPr>
          <w:lang w:val="en-GB"/>
        </w:rPr>
        <w:t>384.</w:t>
      </w:r>
    </w:p>
  </w:footnote>
  <w:footnote w:id="69">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Pr>
          <w:lang w:val="en-GB"/>
        </w:rPr>
        <w:tab/>
        <w:t>Ibid</w:t>
      </w:r>
      <w:r w:rsidRPr="003D19A2">
        <w:rPr>
          <w:lang w:val="en-GB"/>
        </w:rPr>
        <w:t>.</w:t>
      </w:r>
    </w:p>
  </w:footnote>
  <w:footnote w:id="70">
    <w:p w:rsidR="00B613DB" w:rsidRPr="003D19A2" w:rsidRDefault="00B613DB" w:rsidP="002F6072">
      <w:pPr>
        <w:pStyle w:val="FootnoteText"/>
        <w:rPr>
          <w:iCs/>
          <w:lang w:val="en-GB"/>
        </w:rPr>
      </w:pPr>
      <w:r w:rsidRPr="003D19A2">
        <w:rPr>
          <w:rStyle w:val="FootnoteReference"/>
          <w:lang w:val="en-GB"/>
        </w:rPr>
        <w:footnoteRef/>
      </w:r>
      <w:r>
        <w:rPr>
          <w:lang w:val="en-GB"/>
        </w:rPr>
        <w:t xml:space="preserve"> </w:t>
      </w:r>
      <w:r>
        <w:rPr>
          <w:lang w:val="en-GB"/>
        </w:rPr>
        <w:tab/>
        <w:t>Cornell &amp; Fuller (note </w:t>
      </w:r>
      <w:r>
        <w:rPr>
          <w:lang w:val="en-GB"/>
        </w:rPr>
        <w:fldChar w:fldCharType="begin"/>
      </w:r>
      <w:r>
        <w:rPr>
          <w:lang w:val="en-GB"/>
        </w:rPr>
        <w:instrText xml:space="preserve"> NOTEREF _Ref520142623 \h  \* MERGEFORMAT </w:instrText>
      </w:r>
      <w:r>
        <w:rPr>
          <w:lang w:val="en-GB"/>
        </w:rPr>
      </w:r>
      <w:r>
        <w:rPr>
          <w:lang w:val="en-GB"/>
        </w:rPr>
        <w:fldChar w:fldCharType="separate"/>
      </w:r>
      <w:r w:rsidR="00F97B66">
        <w:rPr>
          <w:lang w:val="en-GB"/>
        </w:rPr>
        <w:t>52</w:t>
      </w:r>
      <w:r>
        <w:rPr>
          <w:lang w:val="en-GB"/>
        </w:rPr>
        <w:fldChar w:fldCharType="end"/>
      </w:r>
      <w:r>
        <w:rPr>
          <w:lang w:val="en-GB"/>
        </w:rPr>
        <w:t xml:space="preserve"> above) at</w:t>
      </w:r>
      <w:r w:rsidRPr="003D19A2">
        <w:rPr>
          <w:iCs/>
          <w:lang w:val="en-GB"/>
        </w:rPr>
        <w:t xml:space="preserve"> 15. Although Wood </w:t>
      </w:r>
      <w:r>
        <w:rPr>
          <w:lang w:val="en-GB"/>
        </w:rPr>
        <w:t>(note </w:t>
      </w:r>
      <w:r>
        <w:rPr>
          <w:lang w:val="en-GB"/>
        </w:rPr>
        <w:fldChar w:fldCharType="begin"/>
      </w:r>
      <w:r>
        <w:rPr>
          <w:lang w:val="en-GB"/>
        </w:rPr>
        <w:instrText xml:space="preserve"> NOTEREF _Ref480215548 \h  \* MERGEFORMAT </w:instrText>
      </w:r>
      <w:r>
        <w:rPr>
          <w:lang w:val="en-GB"/>
        </w:rPr>
      </w:r>
      <w:r>
        <w:rPr>
          <w:lang w:val="en-GB"/>
        </w:rPr>
        <w:fldChar w:fldCharType="separate"/>
      </w:r>
      <w:r w:rsidR="00F97B66">
        <w:rPr>
          <w:lang w:val="en-GB"/>
        </w:rPr>
        <w:t>62</w:t>
      </w:r>
      <w:r>
        <w:rPr>
          <w:lang w:val="en-GB"/>
        </w:rPr>
        <w:fldChar w:fldCharType="end"/>
      </w:r>
      <w:r>
        <w:rPr>
          <w:lang w:val="en-GB"/>
        </w:rPr>
        <w:t xml:space="preserve"> above) at</w:t>
      </w:r>
      <w:r w:rsidRPr="003D19A2">
        <w:rPr>
          <w:i/>
          <w:iCs/>
          <w:lang w:val="en-GB"/>
        </w:rPr>
        <w:t xml:space="preserve"> </w:t>
      </w:r>
      <w:r w:rsidRPr="003D19A2">
        <w:rPr>
          <w:iCs/>
          <w:lang w:val="en-GB"/>
        </w:rPr>
        <w:t xml:space="preserve">57 argues that the Kantian realms of right and ethics are distinct systems with their own rational basis, he later argues that right can be used to further and promote the moral ideal of the kingdom of ends (at 61). </w:t>
      </w:r>
    </w:p>
  </w:footnote>
  <w:footnote w:id="71">
    <w:p w:rsidR="00B613DB" w:rsidRPr="003D19A2" w:rsidRDefault="00B613DB" w:rsidP="002F6072">
      <w:pPr>
        <w:pStyle w:val="FootnoteText"/>
        <w:rPr>
          <w:iCs/>
          <w:lang w:val="en-GB"/>
        </w:rPr>
      </w:pPr>
      <w:r w:rsidRPr="003D19A2">
        <w:rPr>
          <w:rStyle w:val="FootnoteReference"/>
          <w:lang w:val="en-GB"/>
        </w:rPr>
        <w:footnoteRef/>
      </w:r>
      <w:r w:rsidRPr="003D19A2">
        <w:rPr>
          <w:lang w:val="en-GB"/>
        </w:rPr>
        <w:t xml:space="preserve"> </w:t>
      </w:r>
      <w:r w:rsidRPr="003D19A2">
        <w:rPr>
          <w:lang w:val="en-GB"/>
        </w:rPr>
        <w:tab/>
        <w:t xml:space="preserve">Cornell &amp; Fuller  </w:t>
      </w:r>
      <w:r>
        <w:rPr>
          <w:lang w:val="en-GB"/>
        </w:rPr>
        <w:t>(note </w:t>
      </w:r>
      <w:r>
        <w:rPr>
          <w:lang w:val="en-GB"/>
        </w:rPr>
        <w:fldChar w:fldCharType="begin"/>
      </w:r>
      <w:r>
        <w:rPr>
          <w:lang w:val="en-GB"/>
        </w:rPr>
        <w:instrText xml:space="preserve"> NOTEREF _Ref520142623 \h  \* MERGEFORMAT </w:instrText>
      </w:r>
      <w:r>
        <w:rPr>
          <w:lang w:val="en-GB"/>
        </w:rPr>
      </w:r>
      <w:r>
        <w:rPr>
          <w:lang w:val="en-GB"/>
        </w:rPr>
        <w:fldChar w:fldCharType="separate"/>
      </w:r>
      <w:r w:rsidR="00F97B66">
        <w:rPr>
          <w:lang w:val="en-GB"/>
        </w:rPr>
        <w:t>52</w:t>
      </w:r>
      <w:r>
        <w:rPr>
          <w:lang w:val="en-GB"/>
        </w:rPr>
        <w:fldChar w:fldCharType="end"/>
      </w:r>
      <w:r>
        <w:rPr>
          <w:lang w:val="en-GB"/>
        </w:rPr>
        <w:t xml:space="preserve"> above) at</w:t>
      </w:r>
      <w:r>
        <w:rPr>
          <w:iCs/>
          <w:lang w:val="en-GB"/>
        </w:rPr>
        <w:t xml:space="preserve"> 15;</w:t>
      </w:r>
      <w:r w:rsidRPr="003D19A2">
        <w:rPr>
          <w:iCs/>
          <w:lang w:val="en-GB"/>
        </w:rPr>
        <w:t xml:space="preserve"> Cornell </w:t>
      </w:r>
      <w:r>
        <w:rPr>
          <w:bCs/>
        </w:rPr>
        <w:t>(note </w:t>
      </w:r>
      <w:r>
        <w:rPr>
          <w:bCs/>
        </w:rPr>
        <w:fldChar w:fldCharType="begin"/>
      </w:r>
      <w:r>
        <w:rPr>
          <w:bCs/>
        </w:rPr>
        <w:instrText xml:space="preserve"> NOTEREF _Ref480387249 \h  \* MERGEFORMAT </w:instrText>
      </w:r>
      <w:r>
        <w:rPr>
          <w:bCs/>
        </w:rPr>
      </w:r>
      <w:r>
        <w:rPr>
          <w:bCs/>
        </w:rPr>
        <w:fldChar w:fldCharType="separate"/>
      </w:r>
      <w:r w:rsidR="00F97B66">
        <w:rPr>
          <w:bCs/>
        </w:rPr>
        <w:t>49</w:t>
      </w:r>
      <w:r>
        <w:rPr>
          <w:bCs/>
        </w:rPr>
        <w:fldChar w:fldCharType="end"/>
      </w:r>
      <w:r>
        <w:rPr>
          <w:bCs/>
        </w:rPr>
        <w:t xml:space="preserve"> above) at</w:t>
      </w:r>
      <w:r w:rsidRPr="003D19A2">
        <w:rPr>
          <w:bCs/>
        </w:rPr>
        <w:t xml:space="preserve"> </w:t>
      </w:r>
      <w:r w:rsidRPr="003D19A2">
        <w:rPr>
          <w:iCs/>
          <w:lang w:val="en-GB"/>
        </w:rPr>
        <w:t>26.</w:t>
      </w:r>
    </w:p>
  </w:footnote>
  <w:footnote w:id="72">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Cornell &amp; Fuller  </w:t>
      </w:r>
      <w:r>
        <w:rPr>
          <w:lang w:val="en-GB"/>
        </w:rPr>
        <w:t>(note </w:t>
      </w:r>
      <w:r>
        <w:rPr>
          <w:lang w:val="en-GB"/>
        </w:rPr>
        <w:fldChar w:fldCharType="begin"/>
      </w:r>
      <w:r>
        <w:rPr>
          <w:lang w:val="en-GB"/>
        </w:rPr>
        <w:instrText xml:space="preserve"> NOTEREF _Ref520142623 \h  \* MERGEFORMAT </w:instrText>
      </w:r>
      <w:r>
        <w:rPr>
          <w:lang w:val="en-GB"/>
        </w:rPr>
      </w:r>
      <w:r>
        <w:rPr>
          <w:lang w:val="en-GB"/>
        </w:rPr>
        <w:fldChar w:fldCharType="separate"/>
      </w:r>
      <w:r w:rsidR="00F97B66">
        <w:rPr>
          <w:lang w:val="en-GB"/>
        </w:rPr>
        <w:t>52</w:t>
      </w:r>
      <w:r>
        <w:rPr>
          <w:lang w:val="en-GB"/>
        </w:rPr>
        <w:fldChar w:fldCharType="end"/>
      </w:r>
      <w:r>
        <w:rPr>
          <w:lang w:val="en-GB"/>
        </w:rPr>
        <w:t xml:space="preserve"> above) at</w:t>
      </w:r>
      <w:r w:rsidRPr="003D19A2">
        <w:rPr>
          <w:iCs/>
          <w:lang w:val="en-GB"/>
        </w:rPr>
        <w:t xml:space="preserve"> 14-15. </w:t>
      </w:r>
    </w:p>
  </w:footnote>
  <w:footnote w:id="73">
    <w:p w:rsidR="00B613DB" w:rsidRPr="003D19A2" w:rsidRDefault="00B613DB" w:rsidP="002F6072">
      <w:pPr>
        <w:pStyle w:val="FootnoteText"/>
        <w:rPr>
          <w:b/>
          <w:bCs/>
          <w:lang w:val="en-GB"/>
        </w:rPr>
      </w:pPr>
      <w:r w:rsidRPr="003D19A2">
        <w:rPr>
          <w:rStyle w:val="FootnoteReference"/>
          <w:lang w:val="en-GB"/>
        </w:rPr>
        <w:footnoteRef/>
      </w:r>
      <w:r w:rsidRPr="003D19A2">
        <w:rPr>
          <w:lang w:val="en-GB"/>
        </w:rPr>
        <w:t xml:space="preserve"> </w:t>
      </w:r>
      <w:r w:rsidRPr="003D19A2">
        <w:rPr>
          <w:lang w:val="en-GB"/>
        </w:rPr>
        <w:tab/>
        <w:t xml:space="preserve">As succinctly explained by Cornell </w:t>
      </w:r>
      <w:r>
        <w:rPr>
          <w:bCs/>
        </w:rPr>
        <w:t>(note </w:t>
      </w:r>
      <w:r>
        <w:rPr>
          <w:bCs/>
        </w:rPr>
        <w:fldChar w:fldCharType="begin"/>
      </w:r>
      <w:r>
        <w:rPr>
          <w:bCs/>
        </w:rPr>
        <w:instrText xml:space="preserve"> NOTEREF _Ref480387249 \h  \* MERGEFORMAT </w:instrText>
      </w:r>
      <w:r>
        <w:rPr>
          <w:bCs/>
        </w:rPr>
      </w:r>
      <w:r>
        <w:rPr>
          <w:bCs/>
        </w:rPr>
        <w:fldChar w:fldCharType="separate"/>
      </w:r>
      <w:r w:rsidR="00F97B66">
        <w:rPr>
          <w:bCs/>
        </w:rPr>
        <w:t>49</w:t>
      </w:r>
      <w:r>
        <w:rPr>
          <w:bCs/>
        </w:rPr>
        <w:fldChar w:fldCharType="end"/>
      </w:r>
      <w:r>
        <w:rPr>
          <w:bCs/>
        </w:rPr>
        <w:t xml:space="preserve"> above) at</w:t>
      </w:r>
      <w:r w:rsidRPr="003D19A2">
        <w:rPr>
          <w:bCs/>
        </w:rPr>
        <w:t xml:space="preserve"> </w:t>
      </w:r>
      <w:r w:rsidRPr="003D19A2">
        <w:rPr>
          <w:lang w:val="en-GB"/>
        </w:rPr>
        <w:t xml:space="preserve">28: “Understanding freedom as integrally limited by the conditions of its exercise, the seeming paradox of unlimited freedom can be resolved internally”. See also Barnard </w:t>
      </w:r>
      <w:r>
        <w:rPr>
          <w:iCs/>
          <w:lang w:val="en-GB"/>
        </w:rPr>
        <w:t>(note </w:t>
      </w:r>
      <w:r>
        <w:rPr>
          <w:iCs/>
          <w:lang w:val="en-GB"/>
        </w:rPr>
        <w:fldChar w:fldCharType="begin"/>
      </w:r>
      <w:r>
        <w:rPr>
          <w:iCs/>
          <w:lang w:val="en-GB"/>
        </w:rPr>
        <w:instrText xml:space="preserve"> NOTEREF _Ref520141027 \h  \* MERGEFORMAT </w:instrText>
      </w:r>
      <w:r>
        <w:rPr>
          <w:iCs/>
          <w:lang w:val="en-GB"/>
        </w:rPr>
      </w:r>
      <w:r>
        <w:rPr>
          <w:iCs/>
          <w:lang w:val="en-GB"/>
        </w:rPr>
        <w:fldChar w:fldCharType="separate"/>
      </w:r>
      <w:r w:rsidR="00F97B66">
        <w:rPr>
          <w:iCs/>
          <w:lang w:val="en-GB"/>
        </w:rPr>
        <w:t>16</w:t>
      </w:r>
      <w:r>
        <w:rPr>
          <w:iCs/>
          <w:lang w:val="en-GB"/>
        </w:rPr>
        <w:fldChar w:fldCharType="end"/>
      </w:r>
      <w:r>
        <w:rPr>
          <w:iCs/>
          <w:lang w:val="en-GB"/>
        </w:rPr>
        <w:t xml:space="preserve"> above) at</w:t>
      </w:r>
      <w:r w:rsidRPr="003D19A2">
        <w:rPr>
          <w:lang w:val="en-GB"/>
        </w:rPr>
        <w:t xml:space="preserve"> 235.</w:t>
      </w:r>
    </w:p>
  </w:footnote>
  <w:footnote w:id="74">
    <w:p w:rsidR="00B613DB" w:rsidRPr="003D19A2" w:rsidRDefault="00B613DB" w:rsidP="002F6072">
      <w:pPr>
        <w:pStyle w:val="FootnoteText"/>
        <w:rPr>
          <w:iCs/>
          <w:lang w:val="en-GB"/>
        </w:rPr>
      </w:pPr>
      <w:r w:rsidRPr="003D19A2">
        <w:rPr>
          <w:rStyle w:val="FootnoteReference"/>
          <w:lang w:val="en-GB"/>
        </w:rPr>
        <w:footnoteRef/>
      </w:r>
      <w:r w:rsidRPr="003D19A2">
        <w:rPr>
          <w:lang w:val="en-GB"/>
        </w:rPr>
        <w:t xml:space="preserve"> </w:t>
      </w:r>
      <w:r w:rsidRPr="003D19A2">
        <w:rPr>
          <w:lang w:val="en-GB"/>
        </w:rPr>
        <w:tab/>
        <w:t xml:space="preserve">Cornell &amp; Fuller  </w:t>
      </w:r>
      <w:r>
        <w:rPr>
          <w:lang w:val="en-GB"/>
        </w:rPr>
        <w:t>(note </w:t>
      </w:r>
      <w:r>
        <w:rPr>
          <w:lang w:val="en-GB"/>
        </w:rPr>
        <w:fldChar w:fldCharType="begin"/>
      </w:r>
      <w:r>
        <w:rPr>
          <w:lang w:val="en-GB"/>
        </w:rPr>
        <w:instrText xml:space="preserve"> NOTEREF _Ref520142623 \h  \* MERGEFORMAT </w:instrText>
      </w:r>
      <w:r>
        <w:rPr>
          <w:lang w:val="en-GB"/>
        </w:rPr>
      </w:r>
      <w:r>
        <w:rPr>
          <w:lang w:val="en-GB"/>
        </w:rPr>
        <w:fldChar w:fldCharType="separate"/>
      </w:r>
      <w:r w:rsidR="00F97B66">
        <w:rPr>
          <w:lang w:val="en-GB"/>
        </w:rPr>
        <w:t>52</w:t>
      </w:r>
      <w:r>
        <w:rPr>
          <w:lang w:val="en-GB"/>
        </w:rPr>
        <w:fldChar w:fldCharType="end"/>
      </w:r>
      <w:r>
        <w:rPr>
          <w:lang w:val="en-GB"/>
        </w:rPr>
        <w:t xml:space="preserve"> above) at</w:t>
      </w:r>
      <w:r w:rsidRPr="003D19A2">
        <w:rPr>
          <w:iCs/>
          <w:lang w:val="en-GB"/>
        </w:rPr>
        <w:t xml:space="preserve"> 15; Cornell </w:t>
      </w:r>
      <w:r>
        <w:rPr>
          <w:bCs/>
        </w:rPr>
        <w:t>(note </w:t>
      </w:r>
      <w:r>
        <w:rPr>
          <w:bCs/>
        </w:rPr>
        <w:fldChar w:fldCharType="begin"/>
      </w:r>
      <w:r>
        <w:rPr>
          <w:bCs/>
        </w:rPr>
        <w:instrText xml:space="preserve"> NOTEREF _Ref480387249 \h  \* MERGEFORMAT </w:instrText>
      </w:r>
      <w:r>
        <w:rPr>
          <w:bCs/>
        </w:rPr>
      </w:r>
      <w:r>
        <w:rPr>
          <w:bCs/>
        </w:rPr>
        <w:fldChar w:fldCharType="separate"/>
      </w:r>
      <w:r w:rsidR="00F97B66">
        <w:rPr>
          <w:bCs/>
        </w:rPr>
        <w:t>49</w:t>
      </w:r>
      <w:r>
        <w:rPr>
          <w:bCs/>
        </w:rPr>
        <w:fldChar w:fldCharType="end"/>
      </w:r>
      <w:r>
        <w:rPr>
          <w:bCs/>
        </w:rPr>
        <w:t xml:space="preserve"> above) at</w:t>
      </w:r>
      <w:r w:rsidRPr="003D19A2">
        <w:rPr>
          <w:bCs/>
        </w:rPr>
        <w:t xml:space="preserve"> </w:t>
      </w:r>
      <w:r w:rsidRPr="003D19A2">
        <w:rPr>
          <w:iCs/>
          <w:lang w:val="en-GB"/>
        </w:rPr>
        <w:t>26.</w:t>
      </w:r>
    </w:p>
  </w:footnote>
  <w:footnote w:id="75">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t xml:space="preserve">Cornell &amp; Fuller  </w:t>
      </w:r>
      <w:r>
        <w:rPr>
          <w:lang w:val="en-GB"/>
        </w:rPr>
        <w:t>(note </w:t>
      </w:r>
      <w:r>
        <w:rPr>
          <w:lang w:val="en-GB"/>
        </w:rPr>
        <w:fldChar w:fldCharType="begin"/>
      </w:r>
      <w:r>
        <w:rPr>
          <w:lang w:val="en-GB"/>
        </w:rPr>
        <w:instrText xml:space="preserve"> NOTEREF _Ref520142623 \h  \* MERGEFORMAT </w:instrText>
      </w:r>
      <w:r>
        <w:rPr>
          <w:lang w:val="en-GB"/>
        </w:rPr>
      </w:r>
      <w:r>
        <w:rPr>
          <w:lang w:val="en-GB"/>
        </w:rPr>
        <w:fldChar w:fldCharType="separate"/>
      </w:r>
      <w:r w:rsidR="00F97B66">
        <w:rPr>
          <w:lang w:val="en-GB"/>
        </w:rPr>
        <w:t>52</w:t>
      </w:r>
      <w:r>
        <w:rPr>
          <w:lang w:val="en-GB"/>
        </w:rPr>
        <w:fldChar w:fldCharType="end"/>
      </w:r>
      <w:r>
        <w:rPr>
          <w:lang w:val="en-GB"/>
        </w:rPr>
        <w:t xml:space="preserve"> above) at</w:t>
      </w:r>
      <w:r w:rsidRPr="003D19A2">
        <w:rPr>
          <w:iCs/>
          <w:lang w:val="en-GB"/>
        </w:rPr>
        <w:t xml:space="preserve"> 15.</w:t>
      </w:r>
    </w:p>
  </w:footnote>
  <w:footnote w:id="76">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t xml:space="preserve">Cf the discussion in the text at n </w:t>
      </w:r>
      <w:r w:rsidRPr="003D19A2">
        <w:rPr>
          <w:lang w:val="en-GB"/>
        </w:rPr>
        <w:fldChar w:fldCharType="begin"/>
      </w:r>
      <w:r w:rsidRPr="003D19A2">
        <w:rPr>
          <w:lang w:val="en-GB"/>
        </w:rPr>
        <w:instrText xml:space="preserve"> NOTEREF _Ref479685740 \h  \* MERGEFORMAT </w:instrText>
      </w:r>
      <w:r w:rsidRPr="003D19A2">
        <w:rPr>
          <w:lang w:val="en-GB"/>
        </w:rPr>
      </w:r>
      <w:r w:rsidRPr="003D19A2">
        <w:rPr>
          <w:lang w:val="en-GB"/>
        </w:rPr>
        <w:fldChar w:fldCharType="separate"/>
      </w:r>
      <w:r w:rsidR="00F97B66">
        <w:rPr>
          <w:lang w:val="en-GB"/>
        </w:rPr>
        <w:t>60</w:t>
      </w:r>
      <w:r w:rsidRPr="003D19A2">
        <w:rPr>
          <w:lang w:val="en-GB"/>
        </w:rPr>
        <w:fldChar w:fldCharType="end"/>
      </w:r>
      <w:r w:rsidRPr="003D19A2">
        <w:rPr>
          <w:lang w:val="en-GB"/>
        </w:rPr>
        <w:t xml:space="preserve"> </w:t>
      </w:r>
      <w:r w:rsidRPr="00BA014C">
        <w:rPr>
          <w:iCs/>
          <w:lang w:val="en-GB"/>
        </w:rPr>
        <w:t>above</w:t>
      </w:r>
      <w:r w:rsidRPr="003D19A2">
        <w:rPr>
          <w:lang w:val="en-GB"/>
        </w:rPr>
        <w:t>.</w:t>
      </w:r>
    </w:p>
  </w:footnote>
  <w:footnote w:id="77">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t xml:space="preserve">Cornell </w:t>
      </w:r>
      <w:r>
        <w:rPr>
          <w:bCs/>
        </w:rPr>
        <w:t>(note </w:t>
      </w:r>
      <w:r>
        <w:rPr>
          <w:bCs/>
        </w:rPr>
        <w:fldChar w:fldCharType="begin"/>
      </w:r>
      <w:r>
        <w:rPr>
          <w:bCs/>
        </w:rPr>
        <w:instrText xml:space="preserve"> NOTEREF _Ref480387249 \h  \* MERGEFORMAT </w:instrText>
      </w:r>
      <w:r>
        <w:rPr>
          <w:bCs/>
        </w:rPr>
      </w:r>
      <w:r>
        <w:rPr>
          <w:bCs/>
        </w:rPr>
        <w:fldChar w:fldCharType="separate"/>
      </w:r>
      <w:r w:rsidR="00F97B66">
        <w:rPr>
          <w:bCs/>
        </w:rPr>
        <w:t>49</w:t>
      </w:r>
      <w:r>
        <w:rPr>
          <w:bCs/>
        </w:rPr>
        <w:fldChar w:fldCharType="end"/>
      </w:r>
      <w:r>
        <w:rPr>
          <w:bCs/>
        </w:rPr>
        <w:t xml:space="preserve"> above) at</w:t>
      </w:r>
      <w:r w:rsidRPr="003D19A2">
        <w:rPr>
          <w:bCs/>
        </w:rPr>
        <w:t xml:space="preserve"> </w:t>
      </w:r>
      <w:r w:rsidRPr="003D19A2">
        <w:rPr>
          <w:lang w:val="en-GB"/>
        </w:rPr>
        <w:t xml:space="preserve">26. </w:t>
      </w:r>
    </w:p>
  </w:footnote>
  <w:footnote w:id="78">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sidRPr="003D19A2">
        <w:rPr>
          <w:bCs/>
          <w:i/>
          <w:iCs/>
          <w:lang w:val="en-GB"/>
        </w:rPr>
        <w:t>S v Makwanyane</w:t>
      </w:r>
      <w:r w:rsidRPr="003D19A2">
        <w:rPr>
          <w:bCs/>
          <w:lang w:val="en-GB"/>
        </w:rPr>
        <w:t xml:space="preserve"> </w:t>
      </w:r>
      <w:r w:rsidRPr="003D19A2">
        <w:rPr>
          <w:bCs/>
          <w:i/>
          <w:iCs/>
          <w:lang w:val="en-GB"/>
        </w:rPr>
        <w:t xml:space="preserve">and another </w:t>
      </w:r>
      <w:r w:rsidRPr="00FD0574">
        <w:t>[1995] ZACC 3</w:t>
      </w:r>
      <w:r>
        <w:t xml:space="preserve">, </w:t>
      </w:r>
      <w:r w:rsidRPr="003D19A2">
        <w:rPr>
          <w:bCs/>
          <w:lang w:val="en-GB"/>
        </w:rPr>
        <w:t xml:space="preserve">1995 3 SA 391 (CC) </w:t>
      </w:r>
      <w:r>
        <w:rPr>
          <w:bCs/>
          <w:lang w:val="en-GB"/>
        </w:rPr>
        <w:t>(‘</w:t>
      </w:r>
      <w:r w:rsidRPr="00FD0574">
        <w:rPr>
          <w:bCs/>
          <w:i/>
          <w:lang w:val="en-GB"/>
        </w:rPr>
        <w:t>Makwanyane</w:t>
      </w:r>
      <w:r w:rsidRPr="00FD0574">
        <w:rPr>
          <w:bCs/>
          <w:lang w:val="en-GB"/>
        </w:rPr>
        <w:t>’</w:t>
      </w:r>
      <w:r>
        <w:rPr>
          <w:bCs/>
          <w:lang w:val="en-GB"/>
        </w:rPr>
        <w:t xml:space="preserve">) </w:t>
      </w:r>
      <w:r w:rsidRPr="00FD0574">
        <w:rPr>
          <w:bCs/>
          <w:lang w:val="en-GB"/>
        </w:rPr>
        <w:t>paras</w:t>
      </w:r>
      <w:r>
        <w:rPr>
          <w:bCs/>
          <w:lang w:val="en-GB"/>
        </w:rPr>
        <w:t> </w:t>
      </w:r>
      <w:r w:rsidRPr="003D19A2">
        <w:rPr>
          <w:bCs/>
          <w:lang w:val="en-GB"/>
        </w:rPr>
        <w:t>26 (Chaskalson</w:t>
      </w:r>
      <w:r>
        <w:rPr>
          <w:bCs/>
          <w:lang w:val="en-GB"/>
        </w:rPr>
        <w:t xml:space="preserve"> J</w:t>
      </w:r>
      <w:r w:rsidRPr="003D19A2">
        <w:rPr>
          <w:bCs/>
          <w:lang w:val="en-GB"/>
        </w:rPr>
        <w:t>), 271 &amp; 281 (Mohamed</w:t>
      </w:r>
      <w:r>
        <w:rPr>
          <w:bCs/>
          <w:lang w:val="en-GB"/>
        </w:rPr>
        <w:t> J</w:t>
      </w:r>
      <w:r w:rsidRPr="003D19A2">
        <w:rPr>
          <w:bCs/>
          <w:lang w:val="en-GB"/>
        </w:rPr>
        <w:t>), 313-316 (Mokgoro</w:t>
      </w:r>
      <w:r>
        <w:rPr>
          <w:bCs/>
          <w:lang w:val="en-GB"/>
        </w:rPr>
        <w:t> J</w:t>
      </w:r>
      <w:r w:rsidRPr="003D19A2">
        <w:rPr>
          <w:bCs/>
          <w:lang w:val="en-GB"/>
        </w:rPr>
        <w:t>) &amp; 328 (</w:t>
      </w:r>
      <w:r w:rsidRPr="003D19A2">
        <w:rPr>
          <w:lang w:val="en-GB"/>
        </w:rPr>
        <w:t>O’Regan</w:t>
      </w:r>
      <w:r>
        <w:rPr>
          <w:lang w:val="en-GB"/>
        </w:rPr>
        <w:t xml:space="preserve"> J</w:t>
      </w:r>
      <w:r w:rsidRPr="003D19A2">
        <w:rPr>
          <w:lang w:val="en-GB"/>
        </w:rPr>
        <w:t xml:space="preserve">). See also </w:t>
      </w:r>
      <w:r>
        <w:rPr>
          <w:lang w:val="en-GB"/>
        </w:rPr>
        <w:t xml:space="preserve">C </w:t>
      </w:r>
      <w:r w:rsidRPr="003D19A2">
        <w:rPr>
          <w:lang w:val="en-GB"/>
        </w:rPr>
        <w:t xml:space="preserve">Albertyn </w:t>
      </w:r>
      <w:r>
        <w:rPr>
          <w:lang w:val="en-GB"/>
        </w:rPr>
        <w:t>‘</w:t>
      </w:r>
      <w:r w:rsidRPr="003D19A2">
        <w:rPr>
          <w:lang w:val="en-GB"/>
        </w:rPr>
        <w:t>Values in the South African Constitution</w:t>
      </w:r>
      <w:r>
        <w:rPr>
          <w:lang w:val="en-GB"/>
        </w:rPr>
        <w:t>’</w:t>
      </w:r>
      <w:r w:rsidRPr="003D19A2">
        <w:rPr>
          <w:lang w:val="en-GB"/>
        </w:rPr>
        <w:t xml:space="preserve"> in</w:t>
      </w:r>
      <w:r>
        <w:rPr>
          <w:lang w:val="en-GB"/>
        </w:rPr>
        <w:t xml:space="preserve"> D</w:t>
      </w:r>
      <w:r w:rsidRPr="003D19A2">
        <w:rPr>
          <w:lang w:val="en-GB"/>
        </w:rPr>
        <w:t xml:space="preserve"> Davis </w:t>
      </w:r>
      <w:r w:rsidRPr="003D19A2">
        <w:rPr>
          <w:i/>
          <w:iCs/>
          <w:lang w:val="en-GB"/>
        </w:rPr>
        <w:t>et al</w:t>
      </w:r>
      <w:r w:rsidRPr="003D19A2">
        <w:rPr>
          <w:lang w:val="en-GB"/>
        </w:rPr>
        <w:t xml:space="preserve"> </w:t>
      </w:r>
      <w:r w:rsidRPr="00FD0574">
        <w:rPr>
          <w:i/>
          <w:lang w:val="en-GB"/>
        </w:rPr>
        <w:t xml:space="preserve">An </w:t>
      </w:r>
      <w:r>
        <w:rPr>
          <w:i/>
          <w:lang w:val="en-GB"/>
        </w:rPr>
        <w:t>i</w:t>
      </w:r>
      <w:r w:rsidRPr="003D19A2">
        <w:rPr>
          <w:i/>
          <w:iCs/>
          <w:lang w:val="en-GB"/>
        </w:rPr>
        <w:t>nquiry into the existence of global values</w:t>
      </w:r>
      <w:r>
        <w:rPr>
          <w:i/>
          <w:iCs/>
          <w:lang w:val="en-GB"/>
        </w:rPr>
        <w:t xml:space="preserve"> through the lens of comparative constitutional law</w:t>
      </w:r>
      <w:r w:rsidRPr="003D19A2">
        <w:rPr>
          <w:lang w:val="en-GB"/>
        </w:rPr>
        <w:t xml:space="preserve"> (2015) 327; Botha </w:t>
      </w:r>
      <w:r>
        <w:rPr>
          <w:lang w:val="en-GB"/>
        </w:rPr>
        <w:t>(note </w:t>
      </w:r>
      <w:r>
        <w:rPr>
          <w:lang w:val="en-GB"/>
        </w:rPr>
        <w:fldChar w:fldCharType="begin"/>
      </w:r>
      <w:r>
        <w:rPr>
          <w:lang w:val="en-GB"/>
        </w:rPr>
        <w:instrText xml:space="preserve"> NOTEREF _Ref520141370 \h  \* MERGEFORMAT </w:instrText>
      </w:r>
      <w:r>
        <w:rPr>
          <w:lang w:val="en-GB"/>
        </w:rPr>
      </w:r>
      <w:r>
        <w:rPr>
          <w:lang w:val="en-GB"/>
        </w:rPr>
        <w:fldChar w:fldCharType="separate"/>
      </w:r>
      <w:r w:rsidR="00F97B66">
        <w:rPr>
          <w:lang w:val="en-GB"/>
        </w:rPr>
        <w:t>22</w:t>
      </w:r>
      <w:r>
        <w:rPr>
          <w:lang w:val="en-GB"/>
        </w:rPr>
        <w:fldChar w:fldCharType="end"/>
      </w:r>
      <w:r>
        <w:rPr>
          <w:lang w:val="en-GB"/>
        </w:rPr>
        <w:t xml:space="preserve"> above) at</w:t>
      </w:r>
      <w:r w:rsidRPr="003D19A2">
        <w:rPr>
          <w:lang w:val="en-GB"/>
        </w:rPr>
        <w:t xml:space="preserve"> 202.</w:t>
      </w:r>
    </w:p>
  </w:footnote>
  <w:footnote w:id="79">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sidRPr="003D19A2">
        <w:rPr>
          <w:bCs/>
          <w:i/>
          <w:iCs/>
          <w:lang w:val="en-GB"/>
        </w:rPr>
        <w:t xml:space="preserve">S v Dodo </w:t>
      </w:r>
      <w:r w:rsidRPr="00FD0574">
        <w:t>[2001] ZACC 16</w:t>
      </w:r>
      <w:r>
        <w:t xml:space="preserve">, </w:t>
      </w:r>
      <w:r w:rsidRPr="003D19A2">
        <w:rPr>
          <w:bCs/>
          <w:lang w:val="en-GB"/>
        </w:rPr>
        <w:t>2001 3 SA 382 (CC) para 38</w:t>
      </w:r>
      <w:r>
        <w:rPr>
          <w:bCs/>
          <w:lang w:val="en-GB"/>
        </w:rPr>
        <w:t xml:space="preserve"> (‘</w:t>
      </w:r>
      <w:r>
        <w:rPr>
          <w:bCs/>
          <w:i/>
          <w:lang w:val="en-GB"/>
        </w:rPr>
        <w:t>Dodo</w:t>
      </w:r>
      <w:r>
        <w:rPr>
          <w:bCs/>
          <w:lang w:val="en-GB"/>
        </w:rPr>
        <w:t>’)</w:t>
      </w:r>
      <w:r w:rsidRPr="003D19A2">
        <w:rPr>
          <w:bCs/>
          <w:lang w:val="en-GB"/>
        </w:rPr>
        <w:t xml:space="preserve">. See also </w:t>
      </w:r>
      <w:r w:rsidRPr="003D19A2">
        <w:rPr>
          <w:lang w:val="en-GB"/>
        </w:rPr>
        <w:t xml:space="preserve">Albertyn </w:t>
      </w:r>
      <w:r>
        <w:rPr>
          <w:lang w:val="en-GB"/>
        </w:rPr>
        <w:t>(note </w:t>
      </w:r>
      <w:r>
        <w:rPr>
          <w:lang w:val="en-GB"/>
        </w:rPr>
        <w:fldChar w:fldCharType="begin"/>
      </w:r>
      <w:r>
        <w:rPr>
          <w:lang w:val="en-GB"/>
        </w:rPr>
        <w:instrText xml:space="preserve"> NOTEREF _Ref483308807 \h  \* MERGEFORMAT </w:instrText>
      </w:r>
      <w:r>
        <w:rPr>
          <w:lang w:val="en-GB"/>
        </w:rPr>
      </w:r>
      <w:r>
        <w:rPr>
          <w:lang w:val="en-GB"/>
        </w:rPr>
        <w:fldChar w:fldCharType="separate"/>
      </w:r>
      <w:r w:rsidR="00F97B66">
        <w:rPr>
          <w:lang w:val="en-GB"/>
        </w:rPr>
        <w:t>78</w:t>
      </w:r>
      <w:r>
        <w:rPr>
          <w:lang w:val="en-GB"/>
        </w:rPr>
        <w:fldChar w:fldCharType="end"/>
      </w:r>
      <w:r>
        <w:rPr>
          <w:lang w:val="en-GB"/>
        </w:rPr>
        <w:t xml:space="preserve"> above) at</w:t>
      </w:r>
      <w:r w:rsidRPr="003D19A2">
        <w:rPr>
          <w:lang w:val="en-GB"/>
        </w:rPr>
        <w:t xml:space="preserve"> 327 n 28; Botha </w:t>
      </w:r>
      <w:r>
        <w:rPr>
          <w:lang w:val="en-GB"/>
        </w:rPr>
        <w:t>(note </w:t>
      </w:r>
      <w:r>
        <w:rPr>
          <w:lang w:val="en-GB"/>
        </w:rPr>
        <w:fldChar w:fldCharType="begin"/>
      </w:r>
      <w:r>
        <w:rPr>
          <w:lang w:val="en-GB"/>
        </w:rPr>
        <w:instrText xml:space="preserve"> NOTEREF _Ref520141370 \h  \* MERGEFORMAT </w:instrText>
      </w:r>
      <w:r>
        <w:rPr>
          <w:lang w:val="en-GB"/>
        </w:rPr>
      </w:r>
      <w:r>
        <w:rPr>
          <w:lang w:val="en-GB"/>
        </w:rPr>
        <w:fldChar w:fldCharType="separate"/>
      </w:r>
      <w:r w:rsidR="00F97B66">
        <w:rPr>
          <w:lang w:val="en-GB"/>
        </w:rPr>
        <w:t>22</w:t>
      </w:r>
      <w:r>
        <w:rPr>
          <w:lang w:val="en-GB"/>
        </w:rPr>
        <w:fldChar w:fldCharType="end"/>
      </w:r>
      <w:r>
        <w:rPr>
          <w:lang w:val="en-GB"/>
        </w:rPr>
        <w:t xml:space="preserve"> above) at</w:t>
      </w:r>
      <w:r w:rsidRPr="003D19A2">
        <w:rPr>
          <w:lang w:val="en-GB"/>
        </w:rPr>
        <w:t xml:space="preserve"> 202.</w:t>
      </w:r>
    </w:p>
  </w:footnote>
  <w:footnote w:id="80">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sidRPr="003D19A2">
        <w:rPr>
          <w:bCs/>
          <w:i/>
          <w:iCs/>
          <w:lang w:val="en-GB"/>
        </w:rPr>
        <w:t>Khumalo and others v Holomisa</w:t>
      </w:r>
      <w:r w:rsidRPr="003D19A2">
        <w:rPr>
          <w:bCs/>
          <w:lang w:val="en-GB"/>
        </w:rPr>
        <w:t xml:space="preserve"> </w:t>
      </w:r>
      <w:r w:rsidRPr="00FD0574">
        <w:t>[2002] ZACC 12</w:t>
      </w:r>
      <w:r>
        <w:t xml:space="preserve">, </w:t>
      </w:r>
      <w:r w:rsidRPr="003D19A2">
        <w:rPr>
          <w:bCs/>
          <w:lang w:val="en-GB"/>
        </w:rPr>
        <w:t>2002 5 SA 401 (CC) para 27</w:t>
      </w:r>
      <w:r>
        <w:rPr>
          <w:bCs/>
          <w:lang w:val="en-GB"/>
        </w:rPr>
        <w:t xml:space="preserve"> (‘</w:t>
      </w:r>
      <w:r>
        <w:rPr>
          <w:bCs/>
          <w:i/>
          <w:lang w:val="en-GB"/>
        </w:rPr>
        <w:t>Khumalo</w:t>
      </w:r>
      <w:r>
        <w:rPr>
          <w:bCs/>
          <w:lang w:val="en-GB"/>
        </w:rPr>
        <w:t>’)</w:t>
      </w:r>
      <w:r w:rsidRPr="003D19A2">
        <w:rPr>
          <w:bCs/>
          <w:lang w:val="en-GB"/>
        </w:rPr>
        <w:t>.</w:t>
      </w:r>
    </w:p>
  </w:footnote>
  <w:footnote w:id="81">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t xml:space="preserve">See the discussion </w:t>
      </w:r>
      <w:r>
        <w:rPr>
          <w:lang w:val="en-GB"/>
        </w:rPr>
        <w:t xml:space="preserve">of this decision </w:t>
      </w:r>
      <w:r w:rsidRPr="003D19A2">
        <w:rPr>
          <w:lang w:val="en-GB"/>
        </w:rPr>
        <w:t xml:space="preserve">in </w:t>
      </w:r>
      <w:r w:rsidRPr="003D19A2">
        <w:rPr>
          <w:bCs/>
          <w:i/>
          <w:iCs/>
          <w:lang w:val="en-GB"/>
        </w:rPr>
        <w:t xml:space="preserve">South African Police Service </w:t>
      </w:r>
      <w:proofErr w:type="gramStart"/>
      <w:r w:rsidRPr="003D19A2">
        <w:rPr>
          <w:bCs/>
          <w:i/>
          <w:iCs/>
          <w:lang w:val="en-GB"/>
        </w:rPr>
        <w:t>v</w:t>
      </w:r>
      <w:proofErr w:type="gramEnd"/>
      <w:r w:rsidRPr="003D19A2">
        <w:rPr>
          <w:bCs/>
          <w:i/>
          <w:iCs/>
          <w:lang w:val="en-GB"/>
        </w:rPr>
        <w:t xml:space="preserve"> Solidarity obo Barnard </w:t>
      </w:r>
      <w:r w:rsidRPr="00432086">
        <w:t>[2014] ZACC 23</w:t>
      </w:r>
      <w:r>
        <w:t xml:space="preserve">, </w:t>
      </w:r>
      <w:r w:rsidRPr="003D19A2">
        <w:rPr>
          <w:bCs/>
          <w:lang w:val="en-GB"/>
        </w:rPr>
        <w:t>2014 6 SA 123 (CC) para 172</w:t>
      </w:r>
      <w:r>
        <w:rPr>
          <w:bCs/>
          <w:lang w:val="en-GB"/>
        </w:rPr>
        <w:t xml:space="preserve"> (‘</w:t>
      </w:r>
      <w:r>
        <w:rPr>
          <w:bCs/>
          <w:i/>
          <w:lang w:val="en-GB"/>
        </w:rPr>
        <w:t>Barnard</w:t>
      </w:r>
      <w:r>
        <w:rPr>
          <w:bCs/>
          <w:lang w:val="en-GB"/>
        </w:rPr>
        <w:t>’)</w:t>
      </w:r>
      <w:r w:rsidRPr="003D19A2">
        <w:rPr>
          <w:bCs/>
          <w:lang w:val="en-GB"/>
        </w:rPr>
        <w:t>.</w:t>
      </w:r>
      <w:r w:rsidRPr="003D19A2">
        <w:rPr>
          <w:lang w:val="en-GB"/>
        </w:rPr>
        <w:t xml:space="preserve"> </w:t>
      </w:r>
    </w:p>
  </w:footnote>
  <w:footnote w:id="82">
    <w:p w:rsidR="00B613DB" w:rsidRPr="00432086"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sidRPr="003D19A2">
        <w:rPr>
          <w:bCs/>
          <w:i/>
          <w:iCs/>
          <w:lang w:val="en-GB"/>
        </w:rPr>
        <w:t xml:space="preserve">MEC for Education, KwaZulu-Natal, and others v Pillay </w:t>
      </w:r>
      <w:r w:rsidRPr="00432086">
        <w:t>[2007] ZACC 21</w:t>
      </w:r>
      <w:r>
        <w:t xml:space="preserve">, </w:t>
      </w:r>
      <w:r w:rsidRPr="003D19A2">
        <w:rPr>
          <w:bCs/>
          <w:lang w:val="en-GB"/>
        </w:rPr>
        <w:t>2008 1 SA 474 (CC)</w:t>
      </w:r>
      <w:r>
        <w:rPr>
          <w:lang w:val="en-GB"/>
        </w:rPr>
        <w:t xml:space="preserve"> (‘</w:t>
      </w:r>
      <w:r>
        <w:rPr>
          <w:i/>
          <w:lang w:val="en-GB"/>
        </w:rPr>
        <w:t>Pillay</w:t>
      </w:r>
      <w:r>
        <w:rPr>
          <w:lang w:val="en-GB"/>
        </w:rPr>
        <w:t>’).</w:t>
      </w:r>
    </w:p>
  </w:footnote>
  <w:footnote w:id="83">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sidRPr="00432086">
        <w:rPr>
          <w:bCs/>
          <w:iCs/>
          <w:lang w:val="en-GB"/>
        </w:rPr>
        <w:t>Ibid</w:t>
      </w:r>
      <w:r w:rsidRPr="003D19A2">
        <w:rPr>
          <w:bCs/>
          <w:lang w:val="en-GB"/>
        </w:rPr>
        <w:t xml:space="preserve"> </w:t>
      </w:r>
      <w:r>
        <w:rPr>
          <w:bCs/>
          <w:lang w:val="en-GB"/>
        </w:rPr>
        <w:t xml:space="preserve">at </w:t>
      </w:r>
      <w:r w:rsidRPr="003D19A2">
        <w:rPr>
          <w:bCs/>
          <w:lang w:val="en-GB"/>
        </w:rPr>
        <w:t>para 63.</w:t>
      </w:r>
    </w:p>
  </w:footnote>
  <w:footnote w:id="84">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Pr>
          <w:lang w:val="en-GB"/>
        </w:rPr>
        <w:tab/>
      </w:r>
      <w:r w:rsidRPr="003D19A2">
        <w:rPr>
          <w:i/>
          <w:iCs/>
          <w:lang w:val="en-GB"/>
        </w:rPr>
        <w:t>Ferreira v Levin NO and others; Vryenhoek and others v Powell NO and others</w:t>
      </w:r>
      <w:r w:rsidRPr="003D19A2">
        <w:rPr>
          <w:lang w:val="en-GB"/>
        </w:rPr>
        <w:t xml:space="preserve"> </w:t>
      </w:r>
      <w:r w:rsidRPr="00127BAE">
        <w:t>[1995] ZACC 13</w:t>
      </w:r>
      <w:r>
        <w:t xml:space="preserve">, </w:t>
      </w:r>
      <w:r w:rsidRPr="003D19A2">
        <w:rPr>
          <w:lang w:val="en-GB"/>
        </w:rPr>
        <w:t>1996 1 SA 984 (CC) para 49</w:t>
      </w:r>
      <w:r>
        <w:rPr>
          <w:lang w:val="en-GB"/>
        </w:rPr>
        <w:t xml:space="preserve"> (‘</w:t>
      </w:r>
      <w:r>
        <w:rPr>
          <w:i/>
          <w:lang w:val="en-GB"/>
        </w:rPr>
        <w:t>Ferreira</w:t>
      </w:r>
      <w:r>
        <w:rPr>
          <w:lang w:val="en-GB"/>
        </w:rPr>
        <w:t>’)</w:t>
      </w:r>
      <w:r w:rsidRPr="003D19A2">
        <w:rPr>
          <w:lang w:val="en-GB"/>
        </w:rPr>
        <w:t>.</w:t>
      </w:r>
    </w:p>
  </w:footnote>
  <w:footnote w:id="85">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Pr>
          <w:bCs/>
          <w:i/>
          <w:iCs/>
          <w:lang w:val="en-GB"/>
        </w:rPr>
        <w:t xml:space="preserve">Pillay </w:t>
      </w:r>
      <w:r>
        <w:rPr>
          <w:bCs/>
          <w:iCs/>
          <w:lang w:val="en-GB"/>
        </w:rPr>
        <w:t>(note </w:t>
      </w:r>
      <w:r>
        <w:rPr>
          <w:bCs/>
          <w:iCs/>
          <w:lang w:val="en-GB"/>
        </w:rPr>
        <w:fldChar w:fldCharType="begin"/>
      </w:r>
      <w:r>
        <w:rPr>
          <w:bCs/>
          <w:iCs/>
          <w:lang w:val="en-GB"/>
        </w:rPr>
        <w:instrText xml:space="preserve"> NOTEREF _Ref480364663 \h  \* MERGEFORMAT </w:instrText>
      </w:r>
      <w:r>
        <w:rPr>
          <w:bCs/>
          <w:iCs/>
          <w:lang w:val="en-GB"/>
        </w:rPr>
      </w:r>
      <w:r>
        <w:rPr>
          <w:bCs/>
          <w:iCs/>
          <w:lang w:val="en-GB"/>
        </w:rPr>
        <w:fldChar w:fldCharType="separate"/>
      </w:r>
      <w:r w:rsidR="00F97B66">
        <w:rPr>
          <w:bCs/>
          <w:iCs/>
          <w:lang w:val="en-GB"/>
        </w:rPr>
        <w:t>82</w:t>
      </w:r>
      <w:r>
        <w:rPr>
          <w:bCs/>
          <w:iCs/>
          <w:lang w:val="en-GB"/>
        </w:rPr>
        <w:fldChar w:fldCharType="end"/>
      </w:r>
      <w:r>
        <w:rPr>
          <w:bCs/>
          <w:iCs/>
          <w:lang w:val="en-GB"/>
        </w:rPr>
        <w:t xml:space="preserve"> above) at</w:t>
      </w:r>
      <w:r w:rsidRPr="003D19A2">
        <w:rPr>
          <w:bCs/>
          <w:lang w:val="en-GB"/>
        </w:rPr>
        <w:t xml:space="preserve"> para 64.</w:t>
      </w:r>
    </w:p>
  </w:footnote>
  <w:footnote w:id="86">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t>Cf the discussion in the text at n </w:t>
      </w:r>
      <w:r w:rsidRPr="003D19A2">
        <w:rPr>
          <w:highlight w:val="yellow"/>
          <w:lang w:val="en-GB"/>
        </w:rPr>
        <w:fldChar w:fldCharType="begin"/>
      </w:r>
      <w:r w:rsidRPr="003D19A2">
        <w:rPr>
          <w:lang w:val="en-GB"/>
        </w:rPr>
        <w:instrText xml:space="preserve"> NOTEREF _Ref480215548 \h </w:instrText>
      </w:r>
      <w:r w:rsidRPr="003D19A2">
        <w:rPr>
          <w:highlight w:val="yellow"/>
          <w:lang w:val="en-GB"/>
        </w:rPr>
        <w:instrText xml:space="preserve"> \* MERGEFORMAT </w:instrText>
      </w:r>
      <w:r w:rsidRPr="003D19A2">
        <w:rPr>
          <w:highlight w:val="yellow"/>
          <w:lang w:val="en-GB"/>
        </w:rPr>
      </w:r>
      <w:r w:rsidRPr="003D19A2">
        <w:rPr>
          <w:highlight w:val="yellow"/>
          <w:lang w:val="en-GB"/>
        </w:rPr>
        <w:fldChar w:fldCharType="separate"/>
      </w:r>
      <w:r w:rsidR="00F97B66">
        <w:rPr>
          <w:lang w:val="en-GB"/>
        </w:rPr>
        <w:t>62</w:t>
      </w:r>
      <w:r w:rsidRPr="003D19A2">
        <w:rPr>
          <w:highlight w:val="yellow"/>
          <w:lang w:val="en-GB"/>
        </w:rPr>
        <w:fldChar w:fldCharType="end"/>
      </w:r>
      <w:r w:rsidRPr="003D19A2">
        <w:rPr>
          <w:lang w:val="en-GB"/>
        </w:rPr>
        <w:t xml:space="preserve"> </w:t>
      </w:r>
      <w:r w:rsidRPr="00BA014C">
        <w:rPr>
          <w:iCs/>
          <w:lang w:val="en-GB"/>
        </w:rPr>
        <w:t>above</w:t>
      </w:r>
      <w:r w:rsidRPr="003D19A2">
        <w:rPr>
          <w:lang w:val="en-GB"/>
        </w:rPr>
        <w:t xml:space="preserve">. </w:t>
      </w:r>
    </w:p>
  </w:footnote>
  <w:footnote w:id="87">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t>Cf the discussion in the text at n </w:t>
      </w:r>
      <w:r w:rsidRPr="003D19A2">
        <w:rPr>
          <w:lang w:val="en-GB"/>
        </w:rPr>
        <w:fldChar w:fldCharType="begin"/>
      </w:r>
      <w:r w:rsidRPr="003D19A2">
        <w:rPr>
          <w:lang w:val="en-GB"/>
        </w:rPr>
        <w:instrText xml:space="preserve"> NOTEREF _Ref482604895 \h </w:instrText>
      </w:r>
      <w:r>
        <w:rPr>
          <w:lang w:val="en-GB"/>
        </w:rPr>
        <w:instrText xml:space="preserve"> \* MERGEFORMAT </w:instrText>
      </w:r>
      <w:r w:rsidRPr="003D19A2">
        <w:rPr>
          <w:lang w:val="en-GB"/>
        </w:rPr>
      </w:r>
      <w:r w:rsidRPr="003D19A2">
        <w:rPr>
          <w:lang w:val="en-GB"/>
        </w:rPr>
        <w:fldChar w:fldCharType="separate"/>
      </w:r>
      <w:r w:rsidR="00F97B66">
        <w:rPr>
          <w:lang w:val="en-GB"/>
        </w:rPr>
        <w:t>64</w:t>
      </w:r>
      <w:r w:rsidRPr="003D19A2">
        <w:rPr>
          <w:lang w:val="en-GB"/>
        </w:rPr>
        <w:fldChar w:fldCharType="end"/>
      </w:r>
      <w:r w:rsidRPr="003D19A2">
        <w:rPr>
          <w:lang w:val="en-GB"/>
        </w:rPr>
        <w:t xml:space="preserve"> </w:t>
      </w:r>
      <w:r w:rsidRPr="00BA014C">
        <w:rPr>
          <w:iCs/>
          <w:lang w:val="en-GB"/>
        </w:rPr>
        <w:t>above</w:t>
      </w:r>
      <w:r w:rsidRPr="003D19A2">
        <w:rPr>
          <w:lang w:val="en-GB"/>
        </w:rPr>
        <w:t xml:space="preserve">. </w:t>
      </w:r>
    </w:p>
  </w:footnote>
  <w:footnote w:id="88">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t>Botha</w:t>
      </w:r>
      <w:r>
        <w:rPr>
          <w:lang w:val="en-GB"/>
        </w:rPr>
        <w:t xml:space="preserve"> (note </w:t>
      </w:r>
      <w:r>
        <w:rPr>
          <w:lang w:val="en-GB"/>
        </w:rPr>
        <w:fldChar w:fldCharType="begin"/>
      </w:r>
      <w:r>
        <w:rPr>
          <w:lang w:val="en-GB"/>
        </w:rPr>
        <w:instrText xml:space="preserve"> NOTEREF _Ref520141370 \h  \* MERGEFORMAT </w:instrText>
      </w:r>
      <w:r>
        <w:rPr>
          <w:lang w:val="en-GB"/>
        </w:rPr>
      </w:r>
      <w:r>
        <w:rPr>
          <w:lang w:val="en-GB"/>
        </w:rPr>
        <w:fldChar w:fldCharType="separate"/>
      </w:r>
      <w:r w:rsidR="00F97B66">
        <w:rPr>
          <w:lang w:val="en-GB"/>
        </w:rPr>
        <w:t>22</w:t>
      </w:r>
      <w:r>
        <w:rPr>
          <w:lang w:val="en-GB"/>
        </w:rPr>
        <w:fldChar w:fldCharType="end"/>
      </w:r>
      <w:r>
        <w:rPr>
          <w:lang w:val="en-GB"/>
        </w:rPr>
        <w:t xml:space="preserve"> above) at </w:t>
      </w:r>
      <w:r w:rsidRPr="003D19A2">
        <w:rPr>
          <w:lang w:val="en-GB"/>
        </w:rPr>
        <w:t>203-204</w:t>
      </w:r>
      <w:r w:rsidRPr="003D19A2">
        <w:rPr>
          <w:bCs/>
          <w:lang w:val="en-GB"/>
        </w:rPr>
        <w:t>.</w:t>
      </w:r>
    </w:p>
  </w:footnote>
  <w:footnote w:id="89">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sidRPr="003D19A2">
        <w:rPr>
          <w:bCs/>
          <w:i/>
          <w:iCs/>
          <w:lang w:val="en-GB"/>
        </w:rPr>
        <w:t>MM v MN and another</w:t>
      </w:r>
      <w:r w:rsidRPr="003D19A2">
        <w:rPr>
          <w:bCs/>
          <w:lang w:val="en-GB"/>
        </w:rPr>
        <w:t xml:space="preserve"> </w:t>
      </w:r>
      <w:r w:rsidRPr="00127BAE">
        <w:rPr>
          <w:bCs/>
          <w:lang w:val="en-GB"/>
        </w:rPr>
        <w:t>2013] ZACC 14</w:t>
      </w:r>
      <w:r>
        <w:rPr>
          <w:bCs/>
          <w:lang w:val="en-GB"/>
        </w:rPr>
        <w:t xml:space="preserve">, </w:t>
      </w:r>
      <w:r w:rsidRPr="003D19A2">
        <w:rPr>
          <w:bCs/>
          <w:lang w:val="en-GB"/>
        </w:rPr>
        <w:t>2013 4 SA 415 (CC)</w:t>
      </w:r>
      <w:r>
        <w:rPr>
          <w:bCs/>
          <w:lang w:val="en-GB"/>
        </w:rPr>
        <w:t xml:space="preserve"> (‘</w:t>
      </w:r>
      <w:r>
        <w:rPr>
          <w:bCs/>
          <w:i/>
          <w:lang w:val="en-GB"/>
        </w:rPr>
        <w:t>MM v MN</w:t>
      </w:r>
      <w:r>
        <w:rPr>
          <w:bCs/>
          <w:lang w:val="en-GB"/>
        </w:rPr>
        <w:t>’)</w:t>
      </w:r>
      <w:r w:rsidRPr="003D19A2">
        <w:rPr>
          <w:bCs/>
          <w:lang w:val="en-GB"/>
        </w:rPr>
        <w:t>. However, the decision of the court has been criticised for not dealing with the human dignity of the second wife (</w:t>
      </w:r>
      <w:proofErr w:type="spellStart"/>
      <w:r w:rsidRPr="003D19A2">
        <w:rPr>
          <w:bCs/>
          <w:lang w:val="en-GB"/>
        </w:rPr>
        <w:t>Kruuse</w:t>
      </w:r>
      <w:proofErr w:type="spellEnd"/>
      <w:r w:rsidRPr="003D19A2">
        <w:rPr>
          <w:bCs/>
          <w:lang w:val="en-GB"/>
        </w:rPr>
        <w:t xml:space="preserve"> &amp; Sloth-Nielsen 2014 </w:t>
      </w:r>
      <w:r w:rsidRPr="003D19A2">
        <w:rPr>
          <w:bCs/>
          <w:i/>
          <w:iCs/>
          <w:lang w:val="en-GB"/>
        </w:rPr>
        <w:t>PELJ</w:t>
      </w:r>
      <w:r w:rsidRPr="003D19A2">
        <w:rPr>
          <w:bCs/>
          <w:lang w:val="en-GB"/>
        </w:rPr>
        <w:t xml:space="preserve"> 1724). </w:t>
      </w:r>
    </w:p>
  </w:footnote>
  <w:footnote w:id="90">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Pr>
          <w:bCs/>
          <w:i/>
          <w:iCs/>
          <w:lang w:val="en-GB"/>
        </w:rPr>
        <w:t xml:space="preserve">MM v MN </w:t>
      </w:r>
      <w:r>
        <w:rPr>
          <w:bCs/>
          <w:iCs/>
          <w:lang w:val="en-GB"/>
        </w:rPr>
        <w:t>(note </w:t>
      </w:r>
      <w:r>
        <w:rPr>
          <w:bCs/>
          <w:iCs/>
          <w:lang w:val="en-GB"/>
        </w:rPr>
        <w:fldChar w:fldCharType="begin"/>
      </w:r>
      <w:r>
        <w:rPr>
          <w:bCs/>
          <w:iCs/>
          <w:lang w:val="en-GB"/>
        </w:rPr>
        <w:instrText xml:space="preserve"> NOTEREF _Ref520145089 \h  \* MERGEFORMAT </w:instrText>
      </w:r>
      <w:r>
        <w:rPr>
          <w:bCs/>
          <w:iCs/>
          <w:lang w:val="en-GB"/>
        </w:rPr>
      </w:r>
      <w:r>
        <w:rPr>
          <w:bCs/>
          <w:iCs/>
          <w:lang w:val="en-GB"/>
        </w:rPr>
        <w:fldChar w:fldCharType="separate"/>
      </w:r>
      <w:r w:rsidR="00F97B66">
        <w:rPr>
          <w:bCs/>
          <w:iCs/>
          <w:lang w:val="en-GB"/>
        </w:rPr>
        <w:t>89</w:t>
      </w:r>
      <w:r>
        <w:rPr>
          <w:bCs/>
          <w:iCs/>
          <w:lang w:val="en-GB"/>
        </w:rPr>
        <w:fldChar w:fldCharType="end"/>
      </w:r>
      <w:r>
        <w:rPr>
          <w:bCs/>
          <w:iCs/>
          <w:lang w:val="en-GB"/>
        </w:rPr>
        <w:t xml:space="preserve"> above) at</w:t>
      </w:r>
      <w:r>
        <w:rPr>
          <w:bCs/>
          <w:i/>
          <w:iCs/>
          <w:lang w:val="en-GB"/>
        </w:rPr>
        <w:t xml:space="preserve"> </w:t>
      </w:r>
      <w:r w:rsidRPr="003D19A2">
        <w:rPr>
          <w:bCs/>
          <w:lang w:val="en-GB"/>
        </w:rPr>
        <w:t xml:space="preserve">paras 73-74. </w:t>
      </w:r>
    </w:p>
  </w:footnote>
  <w:footnote w:id="91">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sidRPr="003D19A2">
        <w:rPr>
          <w:i/>
          <w:iCs/>
          <w:lang w:val="en-GB"/>
        </w:rPr>
        <w:t>Teddy Bear Clinic for Abused Children and another v Minister of Justice and Constitutional Development and another</w:t>
      </w:r>
      <w:r w:rsidRPr="003D19A2">
        <w:rPr>
          <w:lang w:val="en-GB"/>
        </w:rPr>
        <w:t xml:space="preserve"> </w:t>
      </w:r>
      <w:r w:rsidRPr="00925915">
        <w:t>[2013] ZACC 35</w:t>
      </w:r>
      <w:r>
        <w:t xml:space="preserve">, </w:t>
      </w:r>
      <w:r w:rsidRPr="003D19A2">
        <w:rPr>
          <w:lang w:val="en-GB"/>
        </w:rPr>
        <w:t>2014 2 SA 168 (CC) para 56</w:t>
      </w:r>
      <w:r>
        <w:rPr>
          <w:lang w:val="en-GB"/>
        </w:rPr>
        <w:t xml:space="preserve"> (‘</w:t>
      </w:r>
      <w:r>
        <w:rPr>
          <w:i/>
          <w:lang w:val="en-GB"/>
        </w:rPr>
        <w:t>Teddy Bear Clinic</w:t>
      </w:r>
      <w:r>
        <w:rPr>
          <w:lang w:val="en-GB"/>
        </w:rPr>
        <w:t>’)</w:t>
      </w:r>
      <w:r w:rsidRPr="003D19A2">
        <w:rPr>
          <w:lang w:val="en-GB"/>
        </w:rPr>
        <w:t xml:space="preserve">. Referred to by approval in the minority judgment in </w:t>
      </w:r>
      <w:r w:rsidRPr="003D19A2">
        <w:rPr>
          <w:i/>
          <w:iCs/>
          <w:lang w:val="en-GB"/>
        </w:rPr>
        <w:t>AB and another v Minister of Social Development</w:t>
      </w:r>
      <w:r w:rsidRPr="003D19A2">
        <w:rPr>
          <w:lang w:val="en-GB"/>
        </w:rPr>
        <w:t xml:space="preserve"> </w:t>
      </w:r>
      <w:r w:rsidRPr="00925915">
        <w:t>[2016] ZACC 43</w:t>
      </w:r>
      <w:r>
        <w:t xml:space="preserve">, </w:t>
      </w:r>
      <w:r w:rsidRPr="003D19A2">
        <w:rPr>
          <w:lang w:val="en-GB"/>
        </w:rPr>
        <w:t>2017 3 SA 570 (CC) para 110, esp n 118.</w:t>
      </w:r>
    </w:p>
  </w:footnote>
  <w:footnote w:id="92">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sidRPr="003D19A2">
        <w:rPr>
          <w:bCs/>
          <w:i/>
          <w:iCs/>
          <w:lang w:val="en-GB"/>
        </w:rPr>
        <w:t xml:space="preserve">Barnard </w:t>
      </w:r>
      <w:r>
        <w:rPr>
          <w:bCs/>
          <w:lang w:val="en-GB"/>
        </w:rPr>
        <w:t>(note </w:t>
      </w:r>
      <w:r>
        <w:rPr>
          <w:bCs/>
          <w:lang w:val="en-GB"/>
        </w:rPr>
        <w:fldChar w:fldCharType="begin"/>
      </w:r>
      <w:r>
        <w:rPr>
          <w:bCs/>
          <w:lang w:val="en-GB"/>
        </w:rPr>
        <w:instrText xml:space="preserve"> NOTEREF _Ref520144191 \h  \* MERGEFORMAT </w:instrText>
      </w:r>
      <w:r>
        <w:rPr>
          <w:bCs/>
          <w:lang w:val="en-GB"/>
        </w:rPr>
      </w:r>
      <w:r>
        <w:rPr>
          <w:bCs/>
          <w:lang w:val="en-GB"/>
        </w:rPr>
        <w:fldChar w:fldCharType="separate"/>
      </w:r>
      <w:r w:rsidR="00F97B66">
        <w:rPr>
          <w:bCs/>
          <w:lang w:val="en-GB"/>
        </w:rPr>
        <w:t>81</w:t>
      </w:r>
      <w:r>
        <w:rPr>
          <w:bCs/>
          <w:lang w:val="en-GB"/>
        </w:rPr>
        <w:fldChar w:fldCharType="end"/>
      </w:r>
      <w:r>
        <w:rPr>
          <w:bCs/>
          <w:lang w:val="en-GB"/>
        </w:rPr>
        <w:t xml:space="preserve"> above) at</w:t>
      </w:r>
      <w:r w:rsidRPr="003D19A2">
        <w:rPr>
          <w:bCs/>
          <w:lang w:val="en-GB"/>
        </w:rPr>
        <w:t xml:space="preserve"> para 173.</w:t>
      </w:r>
    </w:p>
  </w:footnote>
  <w:footnote w:id="93">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Pr>
          <w:lang w:val="en-GB"/>
        </w:rPr>
        <w:tab/>
      </w:r>
      <w:r w:rsidRPr="003D19A2">
        <w:rPr>
          <w:i/>
          <w:iCs/>
          <w:lang w:val="en-GB"/>
        </w:rPr>
        <w:t xml:space="preserve">Ferreira </w:t>
      </w:r>
      <w:r>
        <w:rPr>
          <w:iCs/>
          <w:lang w:val="en-GB"/>
        </w:rPr>
        <w:t>(note </w:t>
      </w:r>
      <w:r>
        <w:rPr>
          <w:iCs/>
          <w:lang w:val="en-GB"/>
        </w:rPr>
        <w:fldChar w:fldCharType="begin"/>
      </w:r>
      <w:r>
        <w:rPr>
          <w:iCs/>
          <w:lang w:val="en-GB"/>
        </w:rPr>
        <w:instrText xml:space="preserve"> NOTEREF _Ref520144669 \h  \* MERGEFORMAT </w:instrText>
      </w:r>
      <w:r>
        <w:rPr>
          <w:iCs/>
          <w:lang w:val="en-GB"/>
        </w:rPr>
      </w:r>
      <w:r>
        <w:rPr>
          <w:iCs/>
          <w:lang w:val="en-GB"/>
        </w:rPr>
        <w:fldChar w:fldCharType="separate"/>
      </w:r>
      <w:r w:rsidR="00F97B66">
        <w:rPr>
          <w:iCs/>
          <w:lang w:val="en-GB"/>
        </w:rPr>
        <w:t>84</w:t>
      </w:r>
      <w:r>
        <w:rPr>
          <w:iCs/>
          <w:lang w:val="en-GB"/>
        </w:rPr>
        <w:fldChar w:fldCharType="end"/>
      </w:r>
      <w:r>
        <w:rPr>
          <w:iCs/>
          <w:lang w:val="en-GB"/>
        </w:rPr>
        <w:t xml:space="preserve"> above) at</w:t>
      </w:r>
      <w:r w:rsidRPr="003D19A2">
        <w:rPr>
          <w:lang w:val="en-GB"/>
        </w:rPr>
        <w:t xml:space="preserve"> para 49. </w:t>
      </w:r>
    </w:p>
  </w:footnote>
  <w:footnote w:id="94">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Pr>
          <w:i/>
          <w:lang w:val="en-GB"/>
        </w:rPr>
        <w:t xml:space="preserve">Barnard </w:t>
      </w:r>
      <w:r>
        <w:rPr>
          <w:bCs/>
          <w:lang w:val="en-GB"/>
        </w:rPr>
        <w:t>(note </w:t>
      </w:r>
      <w:r>
        <w:rPr>
          <w:bCs/>
          <w:lang w:val="en-GB"/>
        </w:rPr>
        <w:fldChar w:fldCharType="begin"/>
      </w:r>
      <w:r>
        <w:rPr>
          <w:bCs/>
          <w:lang w:val="en-GB"/>
        </w:rPr>
        <w:instrText xml:space="preserve"> NOTEREF _Ref520144191 \h  \* MERGEFORMAT </w:instrText>
      </w:r>
      <w:r>
        <w:rPr>
          <w:bCs/>
          <w:lang w:val="en-GB"/>
        </w:rPr>
      </w:r>
      <w:r>
        <w:rPr>
          <w:bCs/>
          <w:lang w:val="en-GB"/>
        </w:rPr>
        <w:fldChar w:fldCharType="separate"/>
      </w:r>
      <w:r w:rsidR="00F97B66">
        <w:rPr>
          <w:bCs/>
          <w:lang w:val="en-GB"/>
        </w:rPr>
        <w:t>81</w:t>
      </w:r>
      <w:r>
        <w:rPr>
          <w:bCs/>
          <w:lang w:val="en-GB"/>
        </w:rPr>
        <w:fldChar w:fldCharType="end"/>
      </w:r>
      <w:r>
        <w:rPr>
          <w:bCs/>
          <w:lang w:val="en-GB"/>
        </w:rPr>
        <w:t xml:space="preserve"> above) at</w:t>
      </w:r>
      <w:r w:rsidRPr="003D19A2">
        <w:rPr>
          <w:bCs/>
          <w:lang w:val="en-GB"/>
        </w:rPr>
        <w:t xml:space="preserve"> para 174. See also </w:t>
      </w:r>
      <w:r w:rsidRPr="003D19A2">
        <w:rPr>
          <w:i/>
          <w:iCs/>
          <w:lang w:val="en-GB"/>
        </w:rPr>
        <w:t xml:space="preserve">Bernstein and others v Bester and others NNO </w:t>
      </w:r>
      <w:r w:rsidRPr="00925915">
        <w:t>[1996] ZACC 2</w:t>
      </w:r>
      <w:r>
        <w:t xml:space="preserve">, </w:t>
      </w:r>
      <w:r w:rsidRPr="003D19A2">
        <w:rPr>
          <w:lang w:val="en-GB"/>
        </w:rPr>
        <w:t>1996 2 SA 751 (CC) paras 65</w:t>
      </w:r>
      <w:r>
        <w:rPr>
          <w:lang w:val="en-GB"/>
        </w:rPr>
        <w:t xml:space="preserve"> (‘</w:t>
      </w:r>
      <w:r>
        <w:rPr>
          <w:i/>
          <w:lang w:val="en-GB"/>
        </w:rPr>
        <w:t>Bernstein</w:t>
      </w:r>
      <w:r>
        <w:rPr>
          <w:lang w:val="en-GB"/>
        </w:rPr>
        <w:t>’)</w:t>
      </w:r>
      <w:r w:rsidRPr="003D19A2">
        <w:rPr>
          <w:lang w:val="en-GB"/>
        </w:rPr>
        <w:t xml:space="preserve">; </w:t>
      </w:r>
      <w:r>
        <w:rPr>
          <w:lang w:val="en-GB"/>
        </w:rPr>
        <w:t xml:space="preserve">L </w:t>
      </w:r>
      <w:r w:rsidRPr="003D19A2">
        <w:rPr>
          <w:lang w:val="en-GB"/>
        </w:rPr>
        <w:t xml:space="preserve">Ackermann </w:t>
      </w:r>
      <w:r w:rsidRPr="003D19A2">
        <w:rPr>
          <w:i/>
          <w:iCs/>
          <w:lang w:val="en-GB"/>
        </w:rPr>
        <w:t>Human dignity</w:t>
      </w:r>
      <w:r>
        <w:rPr>
          <w:i/>
          <w:iCs/>
          <w:lang w:val="en-GB"/>
        </w:rPr>
        <w:t>: Lodestar for equality in South Africa</w:t>
      </w:r>
      <w:r w:rsidRPr="003D19A2">
        <w:rPr>
          <w:lang w:val="en-GB"/>
        </w:rPr>
        <w:t xml:space="preserve"> (2013) 109-111.</w:t>
      </w:r>
    </w:p>
  </w:footnote>
  <w:footnote w:id="95">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sidRPr="003D19A2">
        <w:rPr>
          <w:i/>
          <w:iCs/>
          <w:lang w:val="en-GB"/>
        </w:rPr>
        <w:t xml:space="preserve">Bernstein </w:t>
      </w:r>
      <w:r>
        <w:rPr>
          <w:iCs/>
          <w:lang w:val="en-GB"/>
        </w:rPr>
        <w:t xml:space="preserve">(note </w:t>
      </w:r>
      <w:r>
        <w:rPr>
          <w:iCs/>
          <w:lang w:val="en-GB"/>
        </w:rPr>
        <w:fldChar w:fldCharType="begin"/>
      </w:r>
      <w:r>
        <w:rPr>
          <w:iCs/>
          <w:lang w:val="en-GB"/>
        </w:rPr>
        <w:instrText xml:space="preserve"> NOTEREF _Ref520145299 \h  \* MERGEFORMAT </w:instrText>
      </w:r>
      <w:r>
        <w:rPr>
          <w:iCs/>
          <w:lang w:val="en-GB"/>
        </w:rPr>
      </w:r>
      <w:r>
        <w:rPr>
          <w:iCs/>
          <w:lang w:val="en-GB"/>
        </w:rPr>
        <w:fldChar w:fldCharType="separate"/>
      </w:r>
      <w:r w:rsidR="00F97B66">
        <w:rPr>
          <w:iCs/>
          <w:lang w:val="en-GB"/>
        </w:rPr>
        <w:t>94</w:t>
      </w:r>
      <w:r>
        <w:rPr>
          <w:iCs/>
          <w:lang w:val="en-GB"/>
        </w:rPr>
        <w:fldChar w:fldCharType="end"/>
      </w:r>
      <w:r>
        <w:rPr>
          <w:iCs/>
          <w:lang w:val="en-GB"/>
        </w:rPr>
        <w:t xml:space="preserve"> above) at</w:t>
      </w:r>
      <w:r w:rsidRPr="003D19A2">
        <w:rPr>
          <w:lang w:val="en-GB"/>
        </w:rPr>
        <w:t xml:space="preserve"> para 67.</w:t>
      </w:r>
    </w:p>
  </w:footnote>
  <w:footnote w:id="96">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rStyle w:val="g1"/>
          <w:lang w:val="en-GB"/>
        </w:rPr>
        <w:tab/>
      </w:r>
      <w:r>
        <w:rPr>
          <w:iCs/>
          <w:lang w:val="en-GB"/>
        </w:rPr>
        <w:t>Ibid at</w:t>
      </w:r>
      <w:r w:rsidRPr="003D19A2">
        <w:rPr>
          <w:lang w:val="en-GB"/>
        </w:rPr>
        <w:t xml:space="preserve"> para 66 (esp n 93).</w:t>
      </w:r>
    </w:p>
  </w:footnote>
  <w:footnote w:id="97">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sidRPr="003D19A2">
        <w:rPr>
          <w:bCs/>
          <w:i/>
          <w:iCs/>
          <w:lang w:val="en-GB"/>
        </w:rPr>
        <w:t>Makwanyane</w:t>
      </w:r>
      <w:r w:rsidRPr="003D19A2">
        <w:rPr>
          <w:bCs/>
          <w:lang w:val="en-GB"/>
        </w:rPr>
        <w:t xml:space="preserve"> </w:t>
      </w:r>
      <w:r>
        <w:rPr>
          <w:bCs/>
          <w:lang w:val="en-GB"/>
        </w:rPr>
        <w:t>(note </w:t>
      </w:r>
      <w:r>
        <w:rPr>
          <w:bCs/>
          <w:lang w:val="en-GB"/>
        </w:rPr>
        <w:fldChar w:fldCharType="begin"/>
      </w:r>
      <w:r>
        <w:rPr>
          <w:bCs/>
          <w:lang w:val="en-GB"/>
        </w:rPr>
        <w:instrText xml:space="preserve"> NOTEREF _Ref483308807 \h  \* MERGEFORMAT </w:instrText>
      </w:r>
      <w:r>
        <w:rPr>
          <w:bCs/>
          <w:lang w:val="en-GB"/>
        </w:rPr>
      </w:r>
      <w:r>
        <w:rPr>
          <w:bCs/>
          <w:lang w:val="en-GB"/>
        </w:rPr>
        <w:fldChar w:fldCharType="separate"/>
      </w:r>
      <w:r w:rsidR="00F97B66">
        <w:rPr>
          <w:bCs/>
          <w:lang w:val="en-GB"/>
        </w:rPr>
        <w:t>78</w:t>
      </w:r>
      <w:r>
        <w:rPr>
          <w:bCs/>
          <w:lang w:val="en-GB"/>
        </w:rPr>
        <w:fldChar w:fldCharType="end"/>
      </w:r>
      <w:r>
        <w:rPr>
          <w:bCs/>
          <w:lang w:val="en-GB"/>
        </w:rPr>
        <w:t xml:space="preserve"> above) at p</w:t>
      </w:r>
      <w:r w:rsidRPr="003D19A2">
        <w:rPr>
          <w:lang w:val="en-GB"/>
        </w:rPr>
        <w:t>ara 308 (Mokgoro</w:t>
      </w:r>
      <w:r>
        <w:rPr>
          <w:lang w:val="en-GB"/>
        </w:rPr>
        <w:t xml:space="preserve"> J</w:t>
      </w:r>
      <w:r w:rsidRPr="003D19A2">
        <w:rPr>
          <w:lang w:val="en-GB"/>
        </w:rPr>
        <w:t>).</w:t>
      </w:r>
    </w:p>
  </w:footnote>
  <w:footnote w:id="98">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sidRPr="003D19A2">
        <w:rPr>
          <w:bCs/>
          <w:i/>
          <w:iCs/>
          <w:lang w:val="en-GB"/>
        </w:rPr>
        <w:t>Makwanyane</w:t>
      </w:r>
      <w:r w:rsidRPr="003D19A2">
        <w:rPr>
          <w:bCs/>
          <w:lang w:val="en-GB"/>
        </w:rPr>
        <w:t xml:space="preserve"> </w:t>
      </w:r>
      <w:r>
        <w:rPr>
          <w:bCs/>
          <w:lang w:val="en-GB"/>
        </w:rPr>
        <w:t xml:space="preserve">(note </w:t>
      </w:r>
      <w:r>
        <w:rPr>
          <w:bCs/>
          <w:lang w:val="en-GB"/>
        </w:rPr>
        <w:fldChar w:fldCharType="begin"/>
      </w:r>
      <w:r>
        <w:rPr>
          <w:bCs/>
          <w:lang w:val="en-GB"/>
        </w:rPr>
        <w:instrText xml:space="preserve"> NOTEREF _Ref483308807 \h  \* MERGEFORMAT </w:instrText>
      </w:r>
      <w:r>
        <w:rPr>
          <w:bCs/>
          <w:lang w:val="en-GB"/>
        </w:rPr>
      </w:r>
      <w:r>
        <w:rPr>
          <w:bCs/>
          <w:lang w:val="en-GB"/>
        </w:rPr>
        <w:fldChar w:fldCharType="separate"/>
      </w:r>
      <w:r w:rsidR="00F97B66">
        <w:rPr>
          <w:bCs/>
          <w:lang w:val="en-GB"/>
        </w:rPr>
        <w:t>78</w:t>
      </w:r>
      <w:r>
        <w:rPr>
          <w:bCs/>
          <w:lang w:val="en-GB"/>
        </w:rPr>
        <w:fldChar w:fldCharType="end"/>
      </w:r>
      <w:r>
        <w:rPr>
          <w:bCs/>
          <w:lang w:val="en-GB"/>
        </w:rPr>
        <w:t xml:space="preserve"> above) at </w:t>
      </w:r>
      <w:r w:rsidRPr="003D19A2">
        <w:rPr>
          <w:lang w:val="en-GB"/>
        </w:rPr>
        <w:t>para 225 (Langa</w:t>
      </w:r>
      <w:r>
        <w:rPr>
          <w:lang w:val="en-GB"/>
        </w:rPr>
        <w:t xml:space="preserve"> J</w:t>
      </w:r>
      <w:r w:rsidRPr="003D19A2">
        <w:rPr>
          <w:lang w:val="en-GB"/>
        </w:rPr>
        <w:t>).</w:t>
      </w:r>
      <w:r w:rsidRPr="000B406D">
        <w:t xml:space="preserve"> </w:t>
      </w:r>
    </w:p>
  </w:footnote>
  <w:footnote w:id="99">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Pr>
          <w:lang w:val="en-GB"/>
        </w:rPr>
        <w:tab/>
      </w:r>
      <w:r w:rsidRPr="003D19A2">
        <w:rPr>
          <w:lang w:val="en-GB"/>
        </w:rPr>
        <w:t xml:space="preserve">For example, </w:t>
      </w:r>
      <w:r>
        <w:rPr>
          <w:bCs/>
          <w:i/>
          <w:iCs/>
          <w:lang w:val="en-GB"/>
        </w:rPr>
        <w:t xml:space="preserve">Pillay </w:t>
      </w:r>
      <w:r>
        <w:rPr>
          <w:bCs/>
          <w:iCs/>
          <w:lang w:val="en-GB"/>
        </w:rPr>
        <w:t>(note </w:t>
      </w:r>
      <w:r>
        <w:rPr>
          <w:bCs/>
          <w:iCs/>
          <w:lang w:val="en-GB"/>
        </w:rPr>
        <w:fldChar w:fldCharType="begin"/>
      </w:r>
      <w:r>
        <w:rPr>
          <w:bCs/>
          <w:iCs/>
          <w:lang w:val="en-GB"/>
        </w:rPr>
        <w:instrText xml:space="preserve"> NOTEREF _Ref480364663 \h  \* MERGEFORMAT </w:instrText>
      </w:r>
      <w:r>
        <w:rPr>
          <w:bCs/>
          <w:iCs/>
          <w:lang w:val="en-GB"/>
        </w:rPr>
      </w:r>
      <w:r>
        <w:rPr>
          <w:bCs/>
          <w:iCs/>
          <w:lang w:val="en-GB"/>
        </w:rPr>
        <w:fldChar w:fldCharType="separate"/>
      </w:r>
      <w:r w:rsidR="00F97B66">
        <w:rPr>
          <w:bCs/>
          <w:iCs/>
          <w:lang w:val="en-GB"/>
        </w:rPr>
        <w:t>82</w:t>
      </w:r>
      <w:r>
        <w:rPr>
          <w:bCs/>
          <w:iCs/>
          <w:lang w:val="en-GB"/>
        </w:rPr>
        <w:fldChar w:fldCharType="end"/>
      </w:r>
      <w:r>
        <w:rPr>
          <w:bCs/>
          <w:iCs/>
          <w:lang w:val="en-GB"/>
        </w:rPr>
        <w:t xml:space="preserve"> above) at</w:t>
      </w:r>
      <w:r>
        <w:rPr>
          <w:bCs/>
          <w:lang w:val="en-GB"/>
        </w:rPr>
        <w:t xml:space="preserve"> para 53;</w:t>
      </w:r>
      <w:r w:rsidRPr="003D19A2">
        <w:rPr>
          <w:i/>
          <w:iCs/>
          <w:lang w:val="en-GB"/>
        </w:rPr>
        <w:t xml:space="preserve"> Dikoko v Mokhatla</w:t>
      </w:r>
      <w:r w:rsidRPr="003D19A2">
        <w:rPr>
          <w:lang w:val="en-GB"/>
        </w:rPr>
        <w:t xml:space="preserve"> </w:t>
      </w:r>
      <w:r>
        <w:rPr>
          <w:lang w:val="en-GB"/>
        </w:rPr>
        <w:t>[</w:t>
      </w:r>
      <w:r w:rsidRPr="00925915">
        <w:t>2006] ZACC 10</w:t>
      </w:r>
      <w:r>
        <w:t xml:space="preserve">, </w:t>
      </w:r>
      <w:r w:rsidRPr="003D19A2">
        <w:rPr>
          <w:lang w:val="en-GB"/>
        </w:rPr>
        <w:t>2006 6 SA 235 (CC)</w:t>
      </w:r>
      <w:r>
        <w:rPr>
          <w:lang w:val="en-GB"/>
        </w:rPr>
        <w:t xml:space="preserve"> para 68 (Mokgoro J)</w:t>
      </w:r>
      <w:r w:rsidRPr="003D19A2">
        <w:rPr>
          <w:lang w:val="en-GB"/>
        </w:rPr>
        <w:t xml:space="preserve">; </w:t>
      </w:r>
      <w:r w:rsidRPr="003D19A2">
        <w:rPr>
          <w:i/>
          <w:iCs/>
          <w:lang w:val="en-GB"/>
        </w:rPr>
        <w:t xml:space="preserve">Port Elizabeth Municipality v Various Occupiers </w:t>
      </w:r>
      <w:r>
        <w:rPr>
          <w:iCs/>
          <w:lang w:val="en-GB"/>
        </w:rPr>
        <w:t>[</w:t>
      </w:r>
      <w:r w:rsidRPr="00925915">
        <w:t>2004] ZACC 7</w:t>
      </w:r>
      <w:r>
        <w:t xml:space="preserve">, </w:t>
      </w:r>
      <w:r w:rsidRPr="003D19A2">
        <w:rPr>
          <w:lang w:val="en-GB"/>
        </w:rPr>
        <w:t>2005 1 SA 217 (CC)</w:t>
      </w:r>
      <w:r>
        <w:rPr>
          <w:lang w:val="en-GB"/>
        </w:rPr>
        <w:t xml:space="preserve"> para 37 (‘</w:t>
      </w:r>
      <w:r>
        <w:rPr>
          <w:i/>
          <w:lang w:val="en-GB"/>
        </w:rPr>
        <w:t>Port Elizabeth</w:t>
      </w:r>
      <w:r>
        <w:rPr>
          <w:lang w:val="en-GB"/>
        </w:rPr>
        <w:t>’)</w:t>
      </w:r>
      <w:r w:rsidRPr="003D19A2">
        <w:rPr>
          <w:lang w:val="en-GB"/>
        </w:rPr>
        <w:t>.</w:t>
      </w:r>
    </w:p>
  </w:footnote>
  <w:footnote w:id="100">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sidRPr="003D19A2">
        <w:rPr>
          <w:bCs/>
          <w:i/>
          <w:iCs/>
          <w:lang w:val="en-GB"/>
        </w:rPr>
        <w:t>Hoffmann v South African Airways</w:t>
      </w:r>
      <w:r w:rsidRPr="003D19A2">
        <w:rPr>
          <w:bCs/>
          <w:lang w:val="en-GB"/>
        </w:rPr>
        <w:t xml:space="preserve"> </w:t>
      </w:r>
      <w:r w:rsidRPr="00925915">
        <w:t>[2000] ZACC 17</w:t>
      </w:r>
      <w:r>
        <w:t xml:space="preserve">, </w:t>
      </w:r>
      <w:r w:rsidRPr="003D19A2">
        <w:rPr>
          <w:bCs/>
          <w:lang w:val="en-GB"/>
        </w:rPr>
        <w:t xml:space="preserve">2011 1 SA 1 (CC) para 38 n 31. See also </w:t>
      </w:r>
      <w:r w:rsidRPr="003D19A2">
        <w:rPr>
          <w:lang w:val="en-GB"/>
        </w:rPr>
        <w:t xml:space="preserve">Ackermann </w:t>
      </w:r>
      <w:r w:rsidRPr="00925915">
        <w:rPr>
          <w:iCs/>
          <w:lang w:val="en-GB"/>
        </w:rPr>
        <w:t>(note </w:t>
      </w:r>
      <w:r w:rsidRPr="00925915">
        <w:rPr>
          <w:iCs/>
          <w:lang w:val="en-GB"/>
        </w:rPr>
        <w:fldChar w:fldCharType="begin"/>
      </w:r>
      <w:r w:rsidRPr="00925915">
        <w:rPr>
          <w:iCs/>
          <w:lang w:val="en-GB"/>
        </w:rPr>
        <w:instrText xml:space="preserve"> NOTEREF _Ref520145299 \h </w:instrText>
      </w:r>
      <w:r>
        <w:rPr>
          <w:iCs/>
          <w:lang w:val="en-GB"/>
        </w:rPr>
        <w:instrText xml:space="preserve"> \* MERGEFORMAT </w:instrText>
      </w:r>
      <w:r w:rsidRPr="00925915">
        <w:rPr>
          <w:iCs/>
          <w:lang w:val="en-GB"/>
        </w:rPr>
      </w:r>
      <w:r w:rsidRPr="00925915">
        <w:rPr>
          <w:iCs/>
          <w:lang w:val="en-GB"/>
        </w:rPr>
        <w:fldChar w:fldCharType="separate"/>
      </w:r>
      <w:r w:rsidR="00F97B66">
        <w:rPr>
          <w:iCs/>
          <w:lang w:val="en-GB"/>
        </w:rPr>
        <w:t>94</w:t>
      </w:r>
      <w:r w:rsidRPr="00925915">
        <w:rPr>
          <w:iCs/>
          <w:lang w:val="en-GB"/>
        </w:rPr>
        <w:fldChar w:fldCharType="end"/>
      </w:r>
      <w:r w:rsidRPr="00925915">
        <w:rPr>
          <w:iCs/>
          <w:lang w:val="en-GB"/>
        </w:rPr>
        <w:t xml:space="preserve"> above) at</w:t>
      </w:r>
      <w:r w:rsidRPr="00925915">
        <w:rPr>
          <w:lang w:val="en-GB"/>
        </w:rPr>
        <w:t xml:space="preserve"> </w:t>
      </w:r>
      <w:r w:rsidRPr="003D19A2">
        <w:rPr>
          <w:lang w:val="en-GB"/>
        </w:rPr>
        <w:t>113.</w:t>
      </w:r>
    </w:p>
  </w:footnote>
  <w:footnote w:id="101">
    <w:p w:rsidR="00B613DB" w:rsidRPr="00E60CB2" w:rsidRDefault="00B613DB" w:rsidP="002F6072">
      <w:pPr>
        <w:pStyle w:val="FootnoteText"/>
      </w:pPr>
      <w:r>
        <w:rPr>
          <w:rStyle w:val="FootnoteReference"/>
        </w:rPr>
        <w:footnoteRef/>
      </w:r>
      <w:r>
        <w:t xml:space="preserve"> </w:t>
      </w:r>
      <w:r>
        <w:tab/>
      </w:r>
      <w:r w:rsidRPr="003D19A2">
        <w:rPr>
          <w:bCs/>
          <w:i/>
          <w:iCs/>
          <w:lang w:val="en-GB"/>
        </w:rPr>
        <w:t>Makwanyane</w:t>
      </w:r>
      <w:r w:rsidRPr="003D19A2">
        <w:rPr>
          <w:bCs/>
          <w:lang w:val="en-GB"/>
        </w:rPr>
        <w:t xml:space="preserve"> </w:t>
      </w:r>
      <w:r>
        <w:rPr>
          <w:bCs/>
          <w:lang w:val="en-GB"/>
        </w:rPr>
        <w:t>(note </w:t>
      </w:r>
      <w:r>
        <w:rPr>
          <w:bCs/>
          <w:lang w:val="en-GB"/>
        </w:rPr>
        <w:fldChar w:fldCharType="begin"/>
      </w:r>
      <w:r>
        <w:rPr>
          <w:bCs/>
          <w:lang w:val="en-GB"/>
        </w:rPr>
        <w:instrText xml:space="preserve"> NOTEREF _Ref483308807 \h  \* MERGEFORMAT </w:instrText>
      </w:r>
      <w:r>
        <w:rPr>
          <w:bCs/>
          <w:lang w:val="en-GB"/>
        </w:rPr>
      </w:r>
      <w:r>
        <w:rPr>
          <w:bCs/>
          <w:lang w:val="en-GB"/>
        </w:rPr>
        <w:fldChar w:fldCharType="separate"/>
      </w:r>
      <w:r w:rsidR="00F97B66">
        <w:rPr>
          <w:bCs/>
          <w:lang w:val="en-GB"/>
        </w:rPr>
        <w:t>78</w:t>
      </w:r>
      <w:r>
        <w:rPr>
          <w:bCs/>
          <w:lang w:val="en-GB"/>
        </w:rPr>
        <w:fldChar w:fldCharType="end"/>
      </w:r>
      <w:r>
        <w:rPr>
          <w:bCs/>
          <w:lang w:val="en-GB"/>
        </w:rPr>
        <w:t xml:space="preserve"> above) at </w:t>
      </w:r>
      <w:r w:rsidRPr="003D19A2">
        <w:rPr>
          <w:lang w:val="en-GB"/>
        </w:rPr>
        <w:t>para 308</w:t>
      </w:r>
      <w:r>
        <w:rPr>
          <w:lang w:val="en-GB"/>
        </w:rPr>
        <w:t>.</w:t>
      </w:r>
    </w:p>
  </w:footnote>
  <w:footnote w:id="102">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Pr>
          <w:lang w:val="en-GB"/>
        </w:rPr>
        <w:t xml:space="preserve">D </w:t>
      </w:r>
      <w:r w:rsidRPr="003D19A2">
        <w:rPr>
          <w:lang w:val="en-GB"/>
        </w:rPr>
        <w:t xml:space="preserve">Cornell &amp; </w:t>
      </w:r>
      <w:r>
        <w:rPr>
          <w:lang w:val="en-GB"/>
        </w:rPr>
        <w:t xml:space="preserve">N </w:t>
      </w:r>
      <w:r w:rsidRPr="003D19A2">
        <w:rPr>
          <w:lang w:val="en-GB"/>
        </w:rPr>
        <w:t xml:space="preserve">Muvangua </w:t>
      </w:r>
      <w:r>
        <w:rPr>
          <w:lang w:val="en-GB"/>
        </w:rPr>
        <w:t>‘</w:t>
      </w:r>
      <w:r w:rsidRPr="003D19A2">
        <w:rPr>
          <w:lang w:val="en-GB"/>
        </w:rPr>
        <w:t>Introduction</w:t>
      </w:r>
      <w:r>
        <w:rPr>
          <w:lang w:val="en-GB"/>
        </w:rPr>
        <w:t>’</w:t>
      </w:r>
      <w:r w:rsidRPr="003D19A2">
        <w:rPr>
          <w:lang w:val="en-GB"/>
        </w:rPr>
        <w:t xml:space="preserve"> in </w:t>
      </w:r>
      <w:r>
        <w:rPr>
          <w:lang w:val="en-GB"/>
        </w:rPr>
        <w:t xml:space="preserve">D </w:t>
      </w:r>
      <w:r w:rsidRPr="003D19A2">
        <w:rPr>
          <w:lang w:val="en-GB"/>
        </w:rPr>
        <w:t xml:space="preserve">Cornell &amp; </w:t>
      </w:r>
      <w:r>
        <w:rPr>
          <w:lang w:val="en-GB"/>
        </w:rPr>
        <w:t xml:space="preserve">N </w:t>
      </w:r>
      <w:r w:rsidRPr="003D19A2">
        <w:rPr>
          <w:lang w:val="en-GB"/>
        </w:rPr>
        <w:t xml:space="preserve">Muvangua (eds) </w:t>
      </w:r>
      <w:r w:rsidRPr="003D19A2">
        <w:rPr>
          <w:i/>
          <w:iCs/>
          <w:lang w:val="en-GB"/>
        </w:rPr>
        <w:t>uBuntu and the law</w:t>
      </w:r>
      <w:r>
        <w:rPr>
          <w:i/>
          <w:iCs/>
          <w:lang w:val="en-GB"/>
        </w:rPr>
        <w:t>: African ideals and postapartheid jurisprudence</w:t>
      </w:r>
      <w:r w:rsidRPr="003D19A2">
        <w:rPr>
          <w:i/>
          <w:iCs/>
          <w:lang w:val="en-GB"/>
        </w:rPr>
        <w:t xml:space="preserve"> </w:t>
      </w:r>
      <w:r>
        <w:rPr>
          <w:lang w:val="en-GB"/>
        </w:rPr>
        <w:t>(2012) </w:t>
      </w:r>
      <w:r w:rsidRPr="003D19A2">
        <w:rPr>
          <w:lang w:val="en-GB"/>
        </w:rPr>
        <w:t xml:space="preserve">8. </w:t>
      </w:r>
    </w:p>
  </w:footnote>
  <w:footnote w:id="103">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Pr>
          <w:lang w:val="en-GB"/>
        </w:rPr>
        <w:t xml:space="preserve">D </w:t>
      </w:r>
      <w:r w:rsidRPr="003D19A2">
        <w:rPr>
          <w:lang w:val="en-GB"/>
        </w:rPr>
        <w:t>Cornell</w:t>
      </w:r>
      <w:r>
        <w:rPr>
          <w:lang w:val="en-GB"/>
        </w:rPr>
        <w:t xml:space="preserve"> ‘Is there a difference that makes a difference between uBuntu and dignity?’</w:t>
      </w:r>
      <w:r w:rsidRPr="003D19A2">
        <w:rPr>
          <w:lang w:val="en-GB"/>
        </w:rPr>
        <w:t xml:space="preserve"> </w:t>
      </w:r>
      <w:r>
        <w:rPr>
          <w:lang w:val="en-GB"/>
        </w:rPr>
        <w:t>(</w:t>
      </w:r>
      <w:r w:rsidRPr="003D19A2">
        <w:rPr>
          <w:lang w:val="en-GB"/>
        </w:rPr>
        <w:t>2010</w:t>
      </w:r>
      <w:r>
        <w:rPr>
          <w:lang w:val="en-GB"/>
        </w:rPr>
        <w:t>) 25</w:t>
      </w:r>
      <w:r w:rsidRPr="003D19A2">
        <w:rPr>
          <w:lang w:val="en-GB"/>
        </w:rPr>
        <w:t xml:space="preserve"> </w:t>
      </w:r>
      <w:r w:rsidRPr="003D19A2">
        <w:rPr>
          <w:i/>
          <w:iCs/>
          <w:lang w:val="en-GB"/>
        </w:rPr>
        <w:t>S</w:t>
      </w:r>
      <w:r>
        <w:rPr>
          <w:i/>
          <w:iCs/>
          <w:lang w:val="en-GB"/>
        </w:rPr>
        <w:t xml:space="preserve">outh </w:t>
      </w:r>
      <w:r w:rsidRPr="003D19A2">
        <w:rPr>
          <w:i/>
          <w:iCs/>
          <w:lang w:val="en-GB"/>
        </w:rPr>
        <w:t>A</w:t>
      </w:r>
      <w:r>
        <w:rPr>
          <w:i/>
          <w:iCs/>
          <w:lang w:val="en-GB"/>
        </w:rPr>
        <w:t xml:space="preserve">frican </w:t>
      </w:r>
      <w:r w:rsidRPr="003D19A2">
        <w:rPr>
          <w:i/>
          <w:iCs/>
          <w:lang w:val="en-GB"/>
        </w:rPr>
        <w:t>P</w:t>
      </w:r>
      <w:r>
        <w:rPr>
          <w:i/>
          <w:iCs/>
          <w:lang w:val="en-GB"/>
        </w:rPr>
        <w:t xml:space="preserve">ublic </w:t>
      </w:r>
      <w:r w:rsidRPr="003D19A2">
        <w:rPr>
          <w:i/>
          <w:iCs/>
          <w:lang w:val="en-GB"/>
        </w:rPr>
        <w:t>L</w:t>
      </w:r>
      <w:r>
        <w:rPr>
          <w:i/>
          <w:iCs/>
          <w:lang w:val="en-GB"/>
        </w:rPr>
        <w:t>aw</w:t>
      </w:r>
      <w:r>
        <w:rPr>
          <w:iCs/>
          <w:lang w:val="en-GB"/>
        </w:rPr>
        <w:t xml:space="preserve"> 382,</w:t>
      </w:r>
      <w:r w:rsidRPr="003D19A2">
        <w:rPr>
          <w:i/>
          <w:iCs/>
          <w:lang w:val="en-GB"/>
        </w:rPr>
        <w:t xml:space="preserve"> </w:t>
      </w:r>
      <w:r w:rsidRPr="003D19A2">
        <w:rPr>
          <w:lang w:val="en-GB"/>
        </w:rPr>
        <w:t>298.</w:t>
      </w:r>
    </w:p>
  </w:footnote>
  <w:footnote w:id="104">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sidRPr="003D19A2">
        <w:rPr>
          <w:bCs/>
          <w:i/>
          <w:iCs/>
          <w:lang w:val="en-GB"/>
        </w:rPr>
        <w:t>Makwanyane</w:t>
      </w:r>
      <w:r w:rsidRPr="003D19A2">
        <w:rPr>
          <w:bCs/>
          <w:lang w:val="en-GB"/>
        </w:rPr>
        <w:t xml:space="preserve"> </w:t>
      </w:r>
      <w:r>
        <w:rPr>
          <w:bCs/>
          <w:lang w:val="en-GB"/>
        </w:rPr>
        <w:t>(note </w:t>
      </w:r>
      <w:r>
        <w:rPr>
          <w:bCs/>
          <w:lang w:val="en-GB"/>
        </w:rPr>
        <w:fldChar w:fldCharType="begin"/>
      </w:r>
      <w:r>
        <w:rPr>
          <w:bCs/>
          <w:lang w:val="en-GB"/>
        </w:rPr>
        <w:instrText xml:space="preserve"> NOTEREF _Ref483308807 \h  \* MERGEFORMAT </w:instrText>
      </w:r>
      <w:r>
        <w:rPr>
          <w:bCs/>
          <w:lang w:val="en-GB"/>
        </w:rPr>
      </w:r>
      <w:r>
        <w:rPr>
          <w:bCs/>
          <w:lang w:val="en-GB"/>
        </w:rPr>
        <w:fldChar w:fldCharType="separate"/>
      </w:r>
      <w:r w:rsidR="00F97B66">
        <w:rPr>
          <w:bCs/>
          <w:lang w:val="en-GB"/>
        </w:rPr>
        <w:t>78</w:t>
      </w:r>
      <w:r>
        <w:rPr>
          <w:bCs/>
          <w:lang w:val="en-GB"/>
        </w:rPr>
        <w:fldChar w:fldCharType="end"/>
      </w:r>
      <w:r>
        <w:rPr>
          <w:bCs/>
          <w:lang w:val="en-GB"/>
        </w:rPr>
        <w:t xml:space="preserve"> above) at </w:t>
      </w:r>
      <w:r w:rsidRPr="003D19A2">
        <w:rPr>
          <w:lang w:val="en-GB"/>
        </w:rPr>
        <w:t xml:space="preserve">para 224. </w:t>
      </w:r>
    </w:p>
  </w:footnote>
  <w:footnote w:id="105">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t>Cf the discussion on human dignity as constraint in the text at n </w:t>
      </w:r>
      <w:r w:rsidRPr="003D19A2">
        <w:rPr>
          <w:lang w:val="en-GB"/>
        </w:rPr>
        <w:fldChar w:fldCharType="begin"/>
      </w:r>
      <w:r w:rsidRPr="003D19A2">
        <w:rPr>
          <w:lang w:val="en-GB"/>
        </w:rPr>
        <w:instrText xml:space="preserve"> NOTEREF _Ref480361134 \h  \* MERGEFORMAT </w:instrText>
      </w:r>
      <w:r w:rsidRPr="003D19A2">
        <w:rPr>
          <w:lang w:val="en-GB"/>
        </w:rPr>
      </w:r>
      <w:r w:rsidRPr="003D19A2">
        <w:rPr>
          <w:lang w:val="en-GB"/>
        </w:rPr>
        <w:fldChar w:fldCharType="separate"/>
      </w:r>
      <w:r w:rsidR="00F97B66">
        <w:rPr>
          <w:lang w:val="en-GB"/>
        </w:rPr>
        <w:t>30</w:t>
      </w:r>
      <w:r w:rsidRPr="003D19A2">
        <w:rPr>
          <w:lang w:val="en-GB"/>
        </w:rPr>
        <w:fldChar w:fldCharType="end"/>
      </w:r>
      <w:r w:rsidRPr="003D19A2">
        <w:rPr>
          <w:lang w:val="en-GB"/>
        </w:rPr>
        <w:t xml:space="preserve"> </w:t>
      </w:r>
      <w:r w:rsidRPr="00BA014C">
        <w:rPr>
          <w:iCs/>
          <w:lang w:val="en-GB"/>
        </w:rPr>
        <w:t>above</w:t>
      </w:r>
      <w:r w:rsidRPr="003D19A2">
        <w:rPr>
          <w:lang w:val="en-GB"/>
        </w:rPr>
        <w:t>.</w:t>
      </w:r>
    </w:p>
  </w:footnote>
  <w:footnote w:id="106">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Pr>
          <w:bCs/>
          <w:i/>
          <w:iCs/>
          <w:lang w:val="en-GB"/>
        </w:rPr>
        <w:t xml:space="preserve">Pillay </w:t>
      </w:r>
      <w:r>
        <w:rPr>
          <w:bCs/>
          <w:iCs/>
          <w:lang w:val="en-GB"/>
        </w:rPr>
        <w:t>(note </w:t>
      </w:r>
      <w:r>
        <w:rPr>
          <w:bCs/>
          <w:iCs/>
          <w:lang w:val="en-GB"/>
        </w:rPr>
        <w:fldChar w:fldCharType="begin"/>
      </w:r>
      <w:r>
        <w:rPr>
          <w:bCs/>
          <w:iCs/>
          <w:lang w:val="en-GB"/>
        </w:rPr>
        <w:instrText xml:space="preserve"> NOTEREF _Ref480364663 \h  \* MERGEFORMAT </w:instrText>
      </w:r>
      <w:r>
        <w:rPr>
          <w:bCs/>
          <w:iCs/>
          <w:lang w:val="en-GB"/>
        </w:rPr>
      </w:r>
      <w:r>
        <w:rPr>
          <w:bCs/>
          <w:iCs/>
          <w:lang w:val="en-GB"/>
        </w:rPr>
        <w:fldChar w:fldCharType="separate"/>
      </w:r>
      <w:r w:rsidR="00F97B66">
        <w:rPr>
          <w:bCs/>
          <w:iCs/>
          <w:lang w:val="en-GB"/>
        </w:rPr>
        <w:t>82</w:t>
      </w:r>
      <w:r>
        <w:rPr>
          <w:bCs/>
          <w:iCs/>
          <w:lang w:val="en-GB"/>
        </w:rPr>
        <w:fldChar w:fldCharType="end"/>
      </w:r>
      <w:r>
        <w:rPr>
          <w:bCs/>
          <w:iCs/>
          <w:lang w:val="en-GB"/>
        </w:rPr>
        <w:t xml:space="preserve"> above) at</w:t>
      </w:r>
      <w:r w:rsidRPr="003D19A2">
        <w:rPr>
          <w:bCs/>
          <w:lang w:val="en-GB"/>
        </w:rPr>
        <w:t xml:space="preserve"> </w:t>
      </w:r>
      <w:r w:rsidRPr="003D19A2">
        <w:rPr>
          <w:lang w:val="en-GB"/>
        </w:rPr>
        <w:t>para 53.</w:t>
      </w:r>
    </w:p>
  </w:footnote>
  <w:footnote w:id="107">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t xml:space="preserve">Cf the discussion </w:t>
      </w:r>
      <w:r>
        <w:rPr>
          <w:lang w:val="en-GB"/>
        </w:rPr>
        <w:t>of this decision</w:t>
      </w:r>
      <w:r w:rsidRPr="003D19A2">
        <w:rPr>
          <w:lang w:val="en-GB"/>
        </w:rPr>
        <w:t xml:space="preserve"> in the text at n </w:t>
      </w:r>
      <w:r w:rsidRPr="003D19A2">
        <w:rPr>
          <w:lang w:val="en-GB"/>
        </w:rPr>
        <w:fldChar w:fldCharType="begin"/>
      </w:r>
      <w:r w:rsidRPr="003D19A2">
        <w:rPr>
          <w:lang w:val="en-GB"/>
        </w:rPr>
        <w:instrText xml:space="preserve"> NOTEREF _Ref480364663 \h  \* MERGEFORMAT </w:instrText>
      </w:r>
      <w:r w:rsidRPr="003D19A2">
        <w:rPr>
          <w:lang w:val="en-GB"/>
        </w:rPr>
      </w:r>
      <w:r w:rsidRPr="003D19A2">
        <w:rPr>
          <w:lang w:val="en-GB"/>
        </w:rPr>
        <w:fldChar w:fldCharType="separate"/>
      </w:r>
      <w:r w:rsidR="00F97B66">
        <w:rPr>
          <w:lang w:val="en-GB"/>
        </w:rPr>
        <w:t>82</w:t>
      </w:r>
      <w:r w:rsidRPr="003D19A2">
        <w:rPr>
          <w:lang w:val="en-GB"/>
        </w:rPr>
        <w:fldChar w:fldCharType="end"/>
      </w:r>
      <w:r w:rsidRPr="003D19A2">
        <w:rPr>
          <w:lang w:val="en-GB"/>
        </w:rPr>
        <w:t xml:space="preserve"> </w:t>
      </w:r>
      <w:r w:rsidRPr="00BA014C">
        <w:rPr>
          <w:iCs/>
          <w:lang w:val="en-GB"/>
        </w:rPr>
        <w:t>above</w:t>
      </w:r>
      <w:r w:rsidRPr="003D19A2">
        <w:rPr>
          <w:lang w:val="en-GB"/>
        </w:rPr>
        <w:t>.</w:t>
      </w:r>
    </w:p>
  </w:footnote>
  <w:footnote w:id="108">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See also Botha </w:t>
      </w:r>
      <w:r>
        <w:rPr>
          <w:lang w:val="en-GB"/>
        </w:rPr>
        <w:t xml:space="preserve">(note </w:t>
      </w:r>
      <w:r>
        <w:rPr>
          <w:lang w:val="en-GB"/>
        </w:rPr>
        <w:fldChar w:fldCharType="begin"/>
      </w:r>
      <w:r>
        <w:rPr>
          <w:lang w:val="en-GB"/>
        </w:rPr>
        <w:instrText xml:space="preserve"> NOTEREF _Ref520141370 \h  \* MERGEFORMAT </w:instrText>
      </w:r>
      <w:r>
        <w:rPr>
          <w:lang w:val="en-GB"/>
        </w:rPr>
      </w:r>
      <w:r>
        <w:rPr>
          <w:lang w:val="en-GB"/>
        </w:rPr>
        <w:fldChar w:fldCharType="separate"/>
      </w:r>
      <w:r w:rsidR="00F97B66">
        <w:rPr>
          <w:lang w:val="en-GB"/>
        </w:rPr>
        <w:t>22</w:t>
      </w:r>
      <w:r>
        <w:rPr>
          <w:lang w:val="en-GB"/>
        </w:rPr>
        <w:fldChar w:fldCharType="end"/>
      </w:r>
      <w:r>
        <w:rPr>
          <w:lang w:val="en-GB"/>
        </w:rPr>
        <w:t xml:space="preserve"> above) at</w:t>
      </w:r>
      <w:r w:rsidRPr="003D19A2">
        <w:rPr>
          <w:i/>
          <w:iCs/>
          <w:lang w:val="en-GB"/>
        </w:rPr>
        <w:t xml:space="preserve"> </w:t>
      </w:r>
      <w:r w:rsidRPr="003D19A2">
        <w:rPr>
          <w:lang w:val="en-GB"/>
        </w:rPr>
        <w:t>205.</w:t>
      </w:r>
    </w:p>
  </w:footnote>
  <w:footnote w:id="109">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Pr>
          <w:lang w:val="en-GB"/>
        </w:rPr>
        <w:t xml:space="preserve">See eg </w:t>
      </w:r>
      <w:r w:rsidRPr="00925915">
        <w:rPr>
          <w:i/>
          <w:iCs/>
          <w:lang w:val="en-GB"/>
        </w:rPr>
        <w:t>Port Elizabeth</w:t>
      </w:r>
      <w:r w:rsidRPr="00925915">
        <w:rPr>
          <w:iCs/>
          <w:lang w:val="en-GB"/>
        </w:rPr>
        <w:t xml:space="preserve"> (note </w:t>
      </w:r>
      <w:r w:rsidRPr="00925915">
        <w:rPr>
          <w:iCs/>
          <w:lang w:val="en-GB"/>
        </w:rPr>
        <w:fldChar w:fldCharType="begin"/>
      </w:r>
      <w:r w:rsidRPr="00925915">
        <w:rPr>
          <w:iCs/>
          <w:lang w:val="en-GB"/>
        </w:rPr>
        <w:instrText xml:space="preserve"> NOTEREF _Ref520145550 \h </w:instrText>
      </w:r>
      <w:r>
        <w:rPr>
          <w:iCs/>
          <w:lang w:val="en-GB"/>
        </w:rPr>
        <w:instrText xml:space="preserve"> \* MERGEFORMAT </w:instrText>
      </w:r>
      <w:r w:rsidRPr="00925915">
        <w:rPr>
          <w:iCs/>
          <w:lang w:val="en-GB"/>
        </w:rPr>
      </w:r>
      <w:r w:rsidRPr="00925915">
        <w:rPr>
          <w:iCs/>
          <w:lang w:val="en-GB"/>
        </w:rPr>
        <w:fldChar w:fldCharType="separate"/>
      </w:r>
      <w:r w:rsidR="00F97B66">
        <w:rPr>
          <w:iCs/>
          <w:lang w:val="en-GB"/>
        </w:rPr>
        <w:t>99</w:t>
      </w:r>
      <w:r w:rsidRPr="00925915">
        <w:rPr>
          <w:iCs/>
          <w:lang w:val="en-GB"/>
        </w:rPr>
        <w:fldChar w:fldCharType="end"/>
      </w:r>
      <w:r w:rsidRPr="00925915">
        <w:rPr>
          <w:iCs/>
          <w:lang w:val="en-GB"/>
        </w:rPr>
        <w:t xml:space="preserve"> above)</w:t>
      </w:r>
      <w:r>
        <w:rPr>
          <w:lang w:val="en-GB"/>
        </w:rPr>
        <w:t>.</w:t>
      </w:r>
      <w:r>
        <w:rPr>
          <w:bCs/>
          <w:lang w:val="en-GB"/>
        </w:rPr>
        <w:t xml:space="preserve"> See also C </w:t>
      </w:r>
      <w:r w:rsidRPr="003D19A2">
        <w:rPr>
          <w:lang w:val="en-GB"/>
        </w:rPr>
        <w:t xml:space="preserve">Himonga “Exploring the concept of ubuntu in the South African legal system” in </w:t>
      </w:r>
      <w:r>
        <w:rPr>
          <w:lang w:val="en-GB"/>
        </w:rPr>
        <w:t xml:space="preserve">U </w:t>
      </w:r>
      <w:r w:rsidRPr="003D19A2">
        <w:rPr>
          <w:lang w:val="en-GB"/>
        </w:rPr>
        <w:t xml:space="preserve">Kischel &amp; </w:t>
      </w:r>
      <w:r>
        <w:rPr>
          <w:lang w:val="en-GB"/>
        </w:rPr>
        <w:t xml:space="preserve">C </w:t>
      </w:r>
      <w:r w:rsidRPr="003D19A2">
        <w:rPr>
          <w:lang w:val="en-GB"/>
        </w:rPr>
        <w:t xml:space="preserve">Kirchner (eds) </w:t>
      </w:r>
      <w:r w:rsidRPr="003D19A2">
        <w:rPr>
          <w:i/>
          <w:iCs/>
          <w:lang w:val="en-GB"/>
        </w:rPr>
        <w:t>Ideologie und Weltanschauung im Recht</w:t>
      </w:r>
      <w:r w:rsidRPr="003D19A2">
        <w:rPr>
          <w:lang w:val="en-GB"/>
        </w:rPr>
        <w:t xml:space="preserve"> (2012) 15 esp n 61</w:t>
      </w:r>
      <w:r>
        <w:rPr>
          <w:lang w:val="en-GB"/>
        </w:rPr>
        <w:t>.</w:t>
      </w:r>
    </w:p>
  </w:footnote>
  <w:footnote w:id="110">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Pr>
          <w:lang w:val="en-GB"/>
        </w:rPr>
        <w:t xml:space="preserve">See D </w:t>
      </w:r>
      <w:r w:rsidRPr="003D19A2">
        <w:rPr>
          <w:bCs/>
          <w:lang w:val="en-GB"/>
        </w:rPr>
        <w:t xml:space="preserve">Cornell &amp; </w:t>
      </w:r>
      <w:r>
        <w:rPr>
          <w:bCs/>
          <w:lang w:val="en-GB"/>
        </w:rPr>
        <w:t xml:space="preserve">K </w:t>
      </w:r>
      <w:r w:rsidRPr="003D19A2">
        <w:rPr>
          <w:bCs/>
          <w:lang w:val="en-GB"/>
        </w:rPr>
        <w:t xml:space="preserve">Van Marle </w:t>
      </w:r>
      <w:r>
        <w:rPr>
          <w:bCs/>
          <w:lang w:val="en-GB"/>
        </w:rPr>
        <w:t xml:space="preserve">‘Exploring </w:t>
      </w:r>
      <w:r w:rsidRPr="00215DA3">
        <w:rPr>
          <w:bCs/>
          <w:i/>
          <w:lang w:val="en-GB"/>
        </w:rPr>
        <w:t>ubuntu</w:t>
      </w:r>
      <w:r>
        <w:rPr>
          <w:bCs/>
          <w:lang w:val="en-GB"/>
        </w:rPr>
        <w:t>: Tentative reflection’ (</w:t>
      </w:r>
      <w:r w:rsidRPr="00215DA3">
        <w:rPr>
          <w:bCs/>
          <w:lang w:val="en-GB"/>
        </w:rPr>
        <w:t>2005</w:t>
      </w:r>
      <w:r>
        <w:rPr>
          <w:bCs/>
          <w:lang w:val="en-GB"/>
        </w:rPr>
        <w:t>) 5</w:t>
      </w:r>
      <w:r w:rsidRPr="003D19A2">
        <w:rPr>
          <w:bCs/>
          <w:lang w:val="en-GB"/>
        </w:rPr>
        <w:t xml:space="preserve"> </w:t>
      </w:r>
      <w:r w:rsidRPr="003D19A2">
        <w:rPr>
          <w:bCs/>
          <w:i/>
          <w:iCs/>
          <w:lang w:val="en-GB"/>
        </w:rPr>
        <w:t>A</w:t>
      </w:r>
      <w:r>
        <w:rPr>
          <w:bCs/>
          <w:i/>
          <w:iCs/>
          <w:lang w:val="en-GB"/>
        </w:rPr>
        <w:t xml:space="preserve">frican </w:t>
      </w:r>
      <w:r w:rsidRPr="003D19A2">
        <w:rPr>
          <w:bCs/>
          <w:i/>
          <w:iCs/>
          <w:lang w:val="en-GB"/>
        </w:rPr>
        <w:t>H</w:t>
      </w:r>
      <w:r>
        <w:rPr>
          <w:bCs/>
          <w:i/>
          <w:iCs/>
          <w:lang w:val="en-GB"/>
        </w:rPr>
        <w:t xml:space="preserve">uman </w:t>
      </w:r>
      <w:r w:rsidRPr="003D19A2">
        <w:rPr>
          <w:bCs/>
          <w:i/>
          <w:iCs/>
          <w:lang w:val="en-GB"/>
        </w:rPr>
        <w:t>R</w:t>
      </w:r>
      <w:r>
        <w:rPr>
          <w:bCs/>
          <w:i/>
          <w:iCs/>
          <w:lang w:val="en-GB"/>
        </w:rPr>
        <w:t xml:space="preserve">ights </w:t>
      </w:r>
      <w:r w:rsidRPr="003D19A2">
        <w:rPr>
          <w:bCs/>
          <w:i/>
          <w:iCs/>
          <w:lang w:val="en-GB"/>
        </w:rPr>
        <w:t>L</w:t>
      </w:r>
      <w:r>
        <w:rPr>
          <w:bCs/>
          <w:i/>
          <w:iCs/>
          <w:lang w:val="en-GB"/>
        </w:rPr>
        <w:t xml:space="preserve">aw </w:t>
      </w:r>
      <w:r w:rsidRPr="003D19A2">
        <w:rPr>
          <w:bCs/>
          <w:i/>
          <w:iCs/>
          <w:lang w:val="en-GB"/>
        </w:rPr>
        <w:t>J</w:t>
      </w:r>
      <w:r>
        <w:rPr>
          <w:bCs/>
          <w:i/>
          <w:iCs/>
          <w:lang w:val="en-GB"/>
        </w:rPr>
        <w:t>ournal</w:t>
      </w:r>
      <w:r>
        <w:rPr>
          <w:bCs/>
          <w:iCs/>
          <w:lang w:val="en-GB"/>
        </w:rPr>
        <w:t xml:space="preserve"> 195,</w:t>
      </w:r>
      <w:r>
        <w:rPr>
          <w:bCs/>
          <w:lang w:val="en-GB"/>
        </w:rPr>
        <w:t xml:space="preserve"> 211 &amp;</w:t>
      </w:r>
      <w:r w:rsidRPr="003D19A2">
        <w:rPr>
          <w:bCs/>
          <w:lang w:val="en-GB"/>
        </w:rPr>
        <w:t xml:space="preserve"> </w:t>
      </w:r>
      <w:r w:rsidRPr="003D19A2">
        <w:rPr>
          <w:lang w:val="en-GB"/>
        </w:rPr>
        <w:t xml:space="preserve">Cornell </w:t>
      </w:r>
      <w:r>
        <w:rPr>
          <w:lang w:val="en-GB"/>
        </w:rPr>
        <w:t>(note </w:t>
      </w:r>
      <w:r>
        <w:rPr>
          <w:lang w:val="en-GB"/>
        </w:rPr>
        <w:fldChar w:fldCharType="begin"/>
      </w:r>
      <w:r>
        <w:rPr>
          <w:lang w:val="en-GB"/>
        </w:rPr>
        <w:instrText xml:space="preserve"> NOTEREF _Ref520142921 \h  \* MERGEFORMAT </w:instrText>
      </w:r>
      <w:r>
        <w:rPr>
          <w:lang w:val="en-GB"/>
        </w:rPr>
      </w:r>
      <w:r>
        <w:rPr>
          <w:lang w:val="en-GB"/>
        </w:rPr>
        <w:fldChar w:fldCharType="separate"/>
      </w:r>
      <w:r w:rsidR="00F97B66">
        <w:rPr>
          <w:lang w:val="en-GB"/>
        </w:rPr>
        <w:t>58</w:t>
      </w:r>
      <w:r>
        <w:rPr>
          <w:lang w:val="en-GB"/>
        </w:rPr>
        <w:fldChar w:fldCharType="end"/>
      </w:r>
      <w:r>
        <w:rPr>
          <w:lang w:val="en-GB"/>
        </w:rPr>
        <w:t xml:space="preserve"> above) at</w:t>
      </w:r>
      <w:r w:rsidRPr="003D19A2">
        <w:rPr>
          <w:lang w:val="en-GB"/>
        </w:rPr>
        <w:t xml:space="preserve"> 667-668</w:t>
      </w:r>
      <w:r>
        <w:rPr>
          <w:lang w:val="en-GB"/>
        </w:rPr>
        <w:t xml:space="preserve"> on why Kantian dignity struggles to justify the promotion of socio-economic rights. See </w:t>
      </w:r>
      <w:r w:rsidRPr="003D19A2">
        <w:rPr>
          <w:lang w:val="en-GB"/>
        </w:rPr>
        <w:t xml:space="preserve">Cornell &amp; Muvangua </w:t>
      </w:r>
      <w:r>
        <w:rPr>
          <w:lang w:val="en-GB"/>
        </w:rPr>
        <w:t>(note </w:t>
      </w:r>
      <w:r>
        <w:rPr>
          <w:lang w:val="en-GB"/>
        </w:rPr>
        <w:fldChar w:fldCharType="begin"/>
      </w:r>
      <w:r>
        <w:rPr>
          <w:lang w:val="en-GB"/>
        </w:rPr>
        <w:instrText xml:space="preserve"> NOTEREF _Ref520145745 \h  \* MERGEFORMAT </w:instrText>
      </w:r>
      <w:r>
        <w:rPr>
          <w:lang w:val="en-GB"/>
        </w:rPr>
      </w:r>
      <w:r>
        <w:rPr>
          <w:lang w:val="en-GB"/>
        </w:rPr>
        <w:fldChar w:fldCharType="separate"/>
      </w:r>
      <w:r w:rsidR="00F97B66">
        <w:rPr>
          <w:lang w:val="en-GB"/>
        </w:rPr>
        <w:t>102</w:t>
      </w:r>
      <w:r>
        <w:rPr>
          <w:lang w:val="en-GB"/>
        </w:rPr>
        <w:fldChar w:fldCharType="end"/>
      </w:r>
      <w:r>
        <w:rPr>
          <w:lang w:val="en-GB"/>
        </w:rPr>
        <w:t xml:space="preserve"> above) at</w:t>
      </w:r>
      <w:r w:rsidRPr="003D19A2">
        <w:rPr>
          <w:lang w:val="en-GB"/>
        </w:rPr>
        <w:t xml:space="preserve"> 6; Cornell </w:t>
      </w:r>
      <w:r>
        <w:rPr>
          <w:lang w:val="en-GB"/>
        </w:rPr>
        <w:t>(note </w:t>
      </w:r>
      <w:r>
        <w:rPr>
          <w:lang w:val="en-GB"/>
        </w:rPr>
        <w:fldChar w:fldCharType="begin"/>
      </w:r>
      <w:r>
        <w:rPr>
          <w:lang w:val="en-GB"/>
        </w:rPr>
        <w:instrText xml:space="preserve"> NOTEREF _Ref520145847 \h  \* MERGEFORMAT </w:instrText>
      </w:r>
      <w:r>
        <w:rPr>
          <w:lang w:val="en-GB"/>
        </w:rPr>
      </w:r>
      <w:r>
        <w:rPr>
          <w:lang w:val="en-GB"/>
        </w:rPr>
        <w:fldChar w:fldCharType="separate"/>
      </w:r>
      <w:r w:rsidR="00F97B66">
        <w:rPr>
          <w:lang w:val="en-GB"/>
        </w:rPr>
        <w:t>103</w:t>
      </w:r>
      <w:r>
        <w:rPr>
          <w:lang w:val="en-GB"/>
        </w:rPr>
        <w:fldChar w:fldCharType="end"/>
      </w:r>
      <w:r>
        <w:rPr>
          <w:lang w:val="en-GB"/>
        </w:rPr>
        <w:t xml:space="preserve"> above) at</w:t>
      </w:r>
      <w:r w:rsidRPr="003D19A2">
        <w:rPr>
          <w:lang w:val="en-GB"/>
        </w:rPr>
        <w:t xml:space="preserve"> 396</w:t>
      </w:r>
      <w:r>
        <w:rPr>
          <w:lang w:val="en-GB"/>
        </w:rPr>
        <w:t xml:space="preserve"> on how ubuntu supports the promotion of socio-economic rights.</w:t>
      </w:r>
    </w:p>
  </w:footnote>
  <w:footnote w:id="111">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t>Specifically, Van der Westhuizen</w:t>
      </w:r>
      <w:r>
        <w:rPr>
          <w:lang w:val="en-GB"/>
        </w:rPr>
        <w:t xml:space="preserve"> J</w:t>
      </w:r>
      <w:r w:rsidRPr="003D19A2">
        <w:rPr>
          <w:lang w:val="en-GB"/>
        </w:rPr>
        <w:t xml:space="preserve"> referred to the following </w:t>
      </w:r>
      <w:r>
        <w:rPr>
          <w:lang w:val="en-GB"/>
        </w:rPr>
        <w:t>decisions</w:t>
      </w:r>
      <w:r w:rsidRPr="003D19A2">
        <w:rPr>
          <w:lang w:val="en-GB"/>
        </w:rPr>
        <w:t xml:space="preserve"> that relied on ubuntu to develop the constitutional value of human dignity: </w:t>
      </w:r>
      <w:r>
        <w:rPr>
          <w:bCs/>
          <w:i/>
          <w:iCs/>
          <w:lang w:val="en-GB"/>
        </w:rPr>
        <w:t xml:space="preserve">Pillay </w:t>
      </w:r>
      <w:r>
        <w:rPr>
          <w:bCs/>
          <w:iCs/>
          <w:lang w:val="en-GB"/>
        </w:rPr>
        <w:t>(note </w:t>
      </w:r>
      <w:r>
        <w:rPr>
          <w:bCs/>
          <w:iCs/>
          <w:lang w:val="en-GB"/>
        </w:rPr>
        <w:fldChar w:fldCharType="begin"/>
      </w:r>
      <w:r>
        <w:rPr>
          <w:bCs/>
          <w:iCs/>
          <w:lang w:val="en-GB"/>
        </w:rPr>
        <w:instrText xml:space="preserve"> NOTEREF _Ref480364663 \h  \* MERGEFORMAT </w:instrText>
      </w:r>
      <w:r>
        <w:rPr>
          <w:bCs/>
          <w:iCs/>
          <w:lang w:val="en-GB"/>
        </w:rPr>
      </w:r>
      <w:r>
        <w:rPr>
          <w:bCs/>
          <w:iCs/>
          <w:lang w:val="en-GB"/>
        </w:rPr>
        <w:fldChar w:fldCharType="separate"/>
      </w:r>
      <w:r w:rsidR="00F97B66">
        <w:rPr>
          <w:bCs/>
          <w:iCs/>
          <w:lang w:val="en-GB"/>
        </w:rPr>
        <w:t>82</w:t>
      </w:r>
      <w:r>
        <w:rPr>
          <w:bCs/>
          <w:iCs/>
          <w:lang w:val="en-GB"/>
        </w:rPr>
        <w:fldChar w:fldCharType="end"/>
      </w:r>
      <w:r>
        <w:rPr>
          <w:bCs/>
          <w:iCs/>
          <w:lang w:val="en-GB"/>
        </w:rPr>
        <w:t xml:space="preserve"> above);</w:t>
      </w:r>
      <w:r w:rsidRPr="003D19A2">
        <w:rPr>
          <w:bCs/>
          <w:lang w:val="en-GB"/>
        </w:rPr>
        <w:t xml:space="preserve"> </w:t>
      </w:r>
      <w:r w:rsidRPr="00925915">
        <w:rPr>
          <w:i/>
          <w:iCs/>
          <w:lang w:val="en-GB"/>
        </w:rPr>
        <w:t>Port Elizabeth</w:t>
      </w:r>
      <w:r w:rsidRPr="00925915">
        <w:rPr>
          <w:iCs/>
          <w:lang w:val="en-GB"/>
        </w:rPr>
        <w:t xml:space="preserve"> (note </w:t>
      </w:r>
      <w:r w:rsidRPr="00925915">
        <w:rPr>
          <w:iCs/>
          <w:lang w:val="en-GB"/>
        </w:rPr>
        <w:fldChar w:fldCharType="begin"/>
      </w:r>
      <w:r w:rsidRPr="00925915">
        <w:rPr>
          <w:iCs/>
          <w:lang w:val="en-GB"/>
        </w:rPr>
        <w:instrText xml:space="preserve"> NOTEREF _Ref520145550 \h </w:instrText>
      </w:r>
      <w:r>
        <w:rPr>
          <w:iCs/>
          <w:lang w:val="en-GB"/>
        </w:rPr>
        <w:instrText xml:space="preserve"> \* MERGEFORMAT </w:instrText>
      </w:r>
      <w:r w:rsidRPr="00925915">
        <w:rPr>
          <w:iCs/>
          <w:lang w:val="en-GB"/>
        </w:rPr>
      </w:r>
      <w:r w:rsidRPr="00925915">
        <w:rPr>
          <w:iCs/>
          <w:lang w:val="en-GB"/>
        </w:rPr>
        <w:fldChar w:fldCharType="separate"/>
      </w:r>
      <w:r w:rsidR="00F97B66">
        <w:rPr>
          <w:iCs/>
          <w:lang w:val="en-GB"/>
        </w:rPr>
        <w:t>99</w:t>
      </w:r>
      <w:r w:rsidRPr="00925915">
        <w:rPr>
          <w:iCs/>
          <w:lang w:val="en-GB"/>
        </w:rPr>
        <w:fldChar w:fldCharType="end"/>
      </w:r>
      <w:r w:rsidRPr="00925915">
        <w:rPr>
          <w:iCs/>
          <w:lang w:val="en-GB"/>
        </w:rPr>
        <w:t xml:space="preserve"> above)</w:t>
      </w:r>
      <w:r w:rsidRPr="003D19A2">
        <w:rPr>
          <w:lang w:val="en-GB"/>
        </w:rPr>
        <w:t xml:space="preserve">; </w:t>
      </w:r>
      <w:r w:rsidRPr="003D19A2">
        <w:rPr>
          <w:i/>
          <w:iCs/>
          <w:lang w:val="en-GB"/>
        </w:rPr>
        <w:t xml:space="preserve">Dawood and another v Minister of Home Affairs and others; Shalabi and another v Minister of Home Affairs and others; Thomas and another v Minister of Home Affairs and others </w:t>
      </w:r>
      <w:r w:rsidRPr="00215DA3">
        <w:t>[2000] ZACC 8</w:t>
      </w:r>
      <w:r>
        <w:t xml:space="preserve">, </w:t>
      </w:r>
      <w:r w:rsidRPr="003D19A2">
        <w:rPr>
          <w:lang w:val="en-GB"/>
        </w:rPr>
        <w:t>2000 3 SA 936 (CC).</w:t>
      </w:r>
    </w:p>
  </w:footnote>
  <w:footnote w:id="112">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t xml:space="preserve">Specifically, Van der Westhuizen </w:t>
      </w:r>
      <w:r>
        <w:rPr>
          <w:lang w:val="en-GB"/>
        </w:rPr>
        <w:t xml:space="preserve">J </w:t>
      </w:r>
      <w:r w:rsidRPr="003D19A2">
        <w:rPr>
          <w:lang w:val="en-GB"/>
        </w:rPr>
        <w:t xml:space="preserve">referred to the following </w:t>
      </w:r>
      <w:r>
        <w:rPr>
          <w:lang w:val="en-GB"/>
        </w:rPr>
        <w:t>decisions</w:t>
      </w:r>
      <w:r w:rsidRPr="003D19A2">
        <w:rPr>
          <w:lang w:val="en-GB"/>
        </w:rPr>
        <w:t xml:space="preserve"> that incorporate aspects of Kantian dignity into South African law: </w:t>
      </w:r>
      <w:r w:rsidRPr="003D19A2">
        <w:rPr>
          <w:bCs/>
          <w:i/>
          <w:iCs/>
          <w:lang w:val="en-GB"/>
        </w:rPr>
        <w:t xml:space="preserve">Khumalo </w:t>
      </w:r>
      <w:r w:rsidRPr="00FD0574">
        <w:rPr>
          <w:bCs/>
          <w:iCs/>
          <w:lang w:val="en-GB"/>
        </w:rPr>
        <w:t>(note </w:t>
      </w:r>
      <w:r w:rsidRPr="00FD0574">
        <w:rPr>
          <w:bCs/>
          <w:iCs/>
          <w:lang w:val="en-GB"/>
        </w:rPr>
        <w:fldChar w:fldCharType="begin"/>
      </w:r>
      <w:r w:rsidRPr="00FD0574">
        <w:rPr>
          <w:bCs/>
          <w:iCs/>
          <w:lang w:val="en-GB"/>
        </w:rPr>
        <w:instrText xml:space="preserve"> NOTEREF _Ref520144015 \h </w:instrText>
      </w:r>
      <w:r>
        <w:rPr>
          <w:bCs/>
          <w:iCs/>
          <w:lang w:val="en-GB"/>
        </w:rPr>
        <w:instrText xml:space="preserve"> \* MERGEFORMAT </w:instrText>
      </w:r>
      <w:r w:rsidRPr="00FD0574">
        <w:rPr>
          <w:bCs/>
          <w:iCs/>
          <w:lang w:val="en-GB"/>
        </w:rPr>
      </w:r>
      <w:r w:rsidRPr="00FD0574">
        <w:rPr>
          <w:bCs/>
          <w:iCs/>
          <w:lang w:val="en-GB"/>
        </w:rPr>
        <w:fldChar w:fldCharType="separate"/>
      </w:r>
      <w:r w:rsidR="00F97B66">
        <w:rPr>
          <w:bCs/>
          <w:iCs/>
          <w:lang w:val="en-GB"/>
        </w:rPr>
        <w:t>80</w:t>
      </w:r>
      <w:r w:rsidRPr="00FD0574">
        <w:rPr>
          <w:bCs/>
          <w:iCs/>
          <w:lang w:val="en-GB"/>
        </w:rPr>
        <w:fldChar w:fldCharType="end"/>
      </w:r>
      <w:r w:rsidRPr="00FD0574">
        <w:rPr>
          <w:bCs/>
          <w:iCs/>
          <w:lang w:val="en-GB"/>
        </w:rPr>
        <w:t xml:space="preserve"> above</w:t>
      </w:r>
      <w:r w:rsidRPr="00FD0574">
        <w:rPr>
          <w:bCs/>
          <w:lang w:val="en-GB"/>
        </w:rPr>
        <w:t>)</w:t>
      </w:r>
      <w:r w:rsidRPr="003D19A2">
        <w:rPr>
          <w:bCs/>
          <w:lang w:val="en-GB"/>
        </w:rPr>
        <w:t xml:space="preserve">; </w:t>
      </w:r>
      <w:r>
        <w:rPr>
          <w:bCs/>
          <w:i/>
          <w:iCs/>
          <w:lang w:val="en-GB"/>
        </w:rPr>
        <w:t>Dodo</w:t>
      </w:r>
      <w:r>
        <w:rPr>
          <w:bCs/>
          <w:iCs/>
          <w:lang w:val="en-GB"/>
        </w:rPr>
        <w:t xml:space="preserve"> (note </w:t>
      </w:r>
      <w:r>
        <w:rPr>
          <w:bCs/>
          <w:iCs/>
          <w:lang w:val="en-GB"/>
        </w:rPr>
        <w:fldChar w:fldCharType="begin"/>
      </w:r>
      <w:r>
        <w:rPr>
          <w:bCs/>
          <w:iCs/>
          <w:lang w:val="en-GB"/>
        </w:rPr>
        <w:instrText xml:space="preserve"> NOTEREF _Ref474143033 \h  \* MERGEFORMAT </w:instrText>
      </w:r>
      <w:r>
        <w:rPr>
          <w:bCs/>
          <w:iCs/>
          <w:lang w:val="en-GB"/>
        </w:rPr>
      </w:r>
      <w:r>
        <w:rPr>
          <w:bCs/>
          <w:iCs/>
          <w:lang w:val="en-GB"/>
        </w:rPr>
        <w:fldChar w:fldCharType="separate"/>
      </w:r>
      <w:r w:rsidR="00F97B66">
        <w:rPr>
          <w:bCs/>
          <w:iCs/>
          <w:lang w:val="en-GB"/>
        </w:rPr>
        <w:t>79</w:t>
      </w:r>
      <w:r>
        <w:rPr>
          <w:bCs/>
          <w:iCs/>
          <w:lang w:val="en-GB"/>
        </w:rPr>
        <w:fldChar w:fldCharType="end"/>
      </w:r>
      <w:r>
        <w:rPr>
          <w:bCs/>
          <w:iCs/>
          <w:lang w:val="en-GB"/>
        </w:rPr>
        <w:t xml:space="preserve"> above)</w:t>
      </w:r>
      <w:r w:rsidRPr="003D19A2">
        <w:rPr>
          <w:bCs/>
          <w:lang w:val="en-GB"/>
        </w:rPr>
        <w:t xml:space="preserve">; </w:t>
      </w:r>
      <w:r w:rsidRPr="003D19A2">
        <w:rPr>
          <w:bCs/>
          <w:i/>
          <w:iCs/>
          <w:lang w:val="en-GB"/>
        </w:rPr>
        <w:t xml:space="preserve">National Coalition for Gay and Lesbian Equality and another v Minister of Justice and others </w:t>
      </w:r>
      <w:r w:rsidRPr="00215DA3">
        <w:t>[1998] ZACC 15</w:t>
      </w:r>
      <w:r>
        <w:t xml:space="preserve">, </w:t>
      </w:r>
      <w:r w:rsidRPr="003D19A2">
        <w:rPr>
          <w:bCs/>
          <w:lang w:val="en-GB"/>
        </w:rPr>
        <w:t xml:space="preserve">1999 1 SA 6 (CC); </w:t>
      </w:r>
      <w:r w:rsidRPr="003D19A2">
        <w:rPr>
          <w:bCs/>
          <w:i/>
          <w:iCs/>
          <w:lang w:val="en-GB"/>
        </w:rPr>
        <w:t xml:space="preserve">Ferreira </w:t>
      </w:r>
      <w:r>
        <w:rPr>
          <w:iCs/>
          <w:lang w:val="en-GB"/>
        </w:rPr>
        <w:t>(note </w:t>
      </w:r>
      <w:r>
        <w:rPr>
          <w:iCs/>
          <w:lang w:val="en-GB"/>
        </w:rPr>
        <w:fldChar w:fldCharType="begin"/>
      </w:r>
      <w:r>
        <w:rPr>
          <w:iCs/>
          <w:lang w:val="en-GB"/>
        </w:rPr>
        <w:instrText xml:space="preserve"> NOTEREF _Ref520144669 \h  \* MERGEFORMAT </w:instrText>
      </w:r>
      <w:r>
        <w:rPr>
          <w:iCs/>
          <w:lang w:val="en-GB"/>
        </w:rPr>
      </w:r>
      <w:r>
        <w:rPr>
          <w:iCs/>
          <w:lang w:val="en-GB"/>
        </w:rPr>
        <w:fldChar w:fldCharType="separate"/>
      </w:r>
      <w:r w:rsidR="00F97B66">
        <w:rPr>
          <w:iCs/>
          <w:lang w:val="en-GB"/>
        </w:rPr>
        <w:t>84</w:t>
      </w:r>
      <w:r>
        <w:rPr>
          <w:iCs/>
          <w:lang w:val="en-GB"/>
        </w:rPr>
        <w:fldChar w:fldCharType="end"/>
      </w:r>
      <w:r>
        <w:rPr>
          <w:iCs/>
          <w:lang w:val="en-GB"/>
        </w:rPr>
        <w:t xml:space="preserve"> above);</w:t>
      </w:r>
      <w:r w:rsidRPr="003D19A2">
        <w:rPr>
          <w:bCs/>
          <w:lang w:val="en-GB"/>
        </w:rPr>
        <w:t xml:space="preserve"> </w:t>
      </w:r>
      <w:r w:rsidRPr="003D19A2">
        <w:rPr>
          <w:i/>
          <w:iCs/>
          <w:lang w:val="en-GB"/>
        </w:rPr>
        <w:t xml:space="preserve">Bernstein </w:t>
      </w:r>
      <w:r>
        <w:rPr>
          <w:iCs/>
          <w:lang w:val="en-GB"/>
        </w:rPr>
        <w:t xml:space="preserve">(note </w:t>
      </w:r>
      <w:r>
        <w:rPr>
          <w:iCs/>
          <w:lang w:val="en-GB"/>
        </w:rPr>
        <w:fldChar w:fldCharType="begin"/>
      </w:r>
      <w:r>
        <w:rPr>
          <w:iCs/>
          <w:lang w:val="en-GB"/>
        </w:rPr>
        <w:instrText xml:space="preserve"> NOTEREF _Ref520145299 \h  \* MERGEFORMAT </w:instrText>
      </w:r>
      <w:r>
        <w:rPr>
          <w:iCs/>
          <w:lang w:val="en-GB"/>
        </w:rPr>
      </w:r>
      <w:r>
        <w:rPr>
          <w:iCs/>
          <w:lang w:val="en-GB"/>
        </w:rPr>
        <w:fldChar w:fldCharType="separate"/>
      </w:r>
      <w:r w:rsidR="00F97B66">
        <w:rPr>
          <w:iCs/>
          <w:lang w:val="en-GB"/>
        </w:rPr>
        <w:t>94</w:t>
      </w:r>
      <w:r>
        <w:rPr>
          <w:iCs/>
          <w:lang w:val="en-GB"/>
        </w:rPr>
        <w:fldChar w:fldCharType="end"/>
      </w:r>
      <w:r>
        <w:rPr>
          <w:iCs/>
          <w:lang w:val="en-GB"/>
        </w:rPr>
        <w:t xml:space="preserve"> above)</w:t>
      </w:r>
      <w:r w:rsidRPr="003D19A2">
        <w:rPr>
          <w:lang w:val="en-GB"/>
        </w:rPr>
        <w:t xml:space="preserve">; </w:t>
      </w:r>
      <w:r w:rsidRPr="003D19A2">
        <w:rPr>
          <w:bCs/>
          <w:i/>
          <w:iCs/>
          <w:lang w:val="en-GB"/>
        </w:rPr>
        <w:t>Makwanyane</w:t>
      </w:r>
      <w:r w:rsidRPr="003D19A2">
        <w:rPr>
          <w:bCs/>
          <w:lang w:val="en-GB"/>
        </w:rPr>
        <w:t xml:space="preserve"> </w:t>
      </w:r>
      <w:r>
        <w:rPr>
          <w:bCs/>
          <w:lang w:val="en-GB"/>
        </w:rPr>
        <w:t>(note </w:t>
      </w:r>
      <w:r>
        <w:rPr>
          <w:bCs/>
          <w:lang w:val="en-GB"/>
        </w:rPr>
        <w:fldChar w:fldCharType="begin"/>
      </w:r>
      <w:r>
        <w:rPr>
          <w:bCs/>
          <w:lang w:val="en-GB"/>
        </w:rPr>
        <w:instrText xml:space="preserve"> NOTEREF _Ref483308807 \h  \* MERGEFORMAT </w:instrText>
      </w:r>
      <w:r>
        <w:rPr>
          <w:bCs/>
          <w:lang w:val="en-GB"/>
        </w:rPr>
      </w:r>
      <w:r>
        <w:rPr>
          <w:bCs/>
          <w:lang w:val="en-GB"/>
        </w:rPr>
        <w:fldChar w:fldCharType="separate"/>
      </w:r>
      <w:r w:rsidR="00F97B66">
        <w:rPr>
          <w:bCs/>
          <w:lang w:val="en-GB"/>
        </w:rPr>
        <w:t>78</w:t>
      </w:r>
      <w:r>
        <w:rPr>
          <w:bCs/>
          <w:lang w:val="en-GB"/>
        </w:rPr>
        <w:fldChar w:fldCharType="end"/>
      </w:r>
      <w:r>
        <w:rPr>
          <w:bCs/>
          <w:lang w:val="en-GB"/>
        </w:rPr>
        <w:t xml:space="preserve"> above).</w:t>
      </w:r>
    </w:p>
  </w:footnote>
  <w:footnote w:id="113">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Pr>
          <w:i/>
          <w:lang w:val="en-GB"/>
        </w:rPr>
        <w:t xml:space="preserve">Barnard </w:t>
      </w:r>
      <w:r>
        <w:rPr>
          <w:bCs/>
          <w:lang w:val="en-GB"/>
        </w:rPr>
        <w:t>(note </w:t>
      </w:r>
      <w:r>
        <w:rPr>
          <w:bCs/>
          <w:lang w:val="en-GB"/>
        </w:rPr>
        <w:fldChar w:fldCharType="begin"/>
      </w:r>
      <w:r>
        <w:rPr>
          <w:bCs/>
          <w:lang w:val="en-GB"/>
        </w:rPr>
        <w:instrText xml:space="preserve"> NOTEREF _Ref520144191 \h  \* MERGEFORMAT </w:instrText>
      </w:r>
      <w:r>
        <w:rPr>
          <w:bCs/>
          <w:lang w:val="en-GB"/>
        </w:rPr>
      </w:r>
      <w:r>
        <w:rPr>
          <w:bCs/>
          <w:lang w:val="en-GB"/>
        </w:rPr>
        <w:fldChar w:fldCharType="separate"/>
      </w:r>
      <w:r w:rsidR="00F97B66">
        <w:rPr>
          <w:bCs/>
          <w:lang w:val="en-GB"/>
        </w:rPr>
        <w:t>81</w:t>
      </w:r>
      <w:r>
        <w:rPr>
          <w:bCs/>
          <w:lang w:val="en-GB"/>
        </w:rPr>
        <w:fldChar w:fldCharType="end"/>
      </w:r>
      <w:r>
        <w:rPr>
          <w:bCs/>
          <w:lang w:val="en-GB"/>
        </w:rPr>
        <w:t xml:space="preserve"> above) at</w:t>
      </w:r>
      <w:r w:rsidRPr="003D19A2">
        <w:rPr>
          <w:bCs/>
          <w:lang w:val="en-GB"/>
        </w:rPr>
        <w:t xml:space="preserve"> para 175 quoting from </w:t>
      </w:r>
      <w:r w:rsidRPr="003D19A2">
        <w:rPr>
          <w:bCs/>
          <w:i/>
          <w:iCs/>
          <w:lang w:val="en-GB"/>
        </w:rPr>
        <w:t>Khosa and others v The Minister of Social Development and others; Mah</w:t>
      </w:r>
      <w:r>
        <w:rPr>
          <w:bCs/>
          <w:i/>
          <w:iCs/>
          <w:lang w:val="en-GB"/>
        </w:rPr>
        <w:t>laule and others v Minister of S</w:t>
      </w:r>
      <w:r w:rsidRPr="003D19A2">
        <w:rPr>
          <w:bCs/>
          <w:i/>
          <w:iCs/>
          <w:lang w:val="en-GB"/>
        </w:rPr>
        <w:t>ocial Development and others</w:t>
      </w:r>
      <w:r w:rsidRPr="003D19A2">
        <w:rPr>
          <w:bCs/>
          <w:lang w:val="en-GB"/>
        </w:rPr>
        <w:t xml:space="preserve"> </w:t>
      </w:r>
      <w:r w:rsidRPr="00215DA3">
        <w:t>[2004] ZACC 11</w:t>
      </w:r>
      <w:r>
        <w:t xml:space="preserve">, </w:t>
      </w:r>
      <w:r w:rsidRPr="003D19A2">
        <w:rPr>
          <w:bCs/>
          <w:lang w:val="en-GB"/>
        </w:rPr>
        <w:t>2004 6 SA 505 (CC) para 74</w:t>
      </w:r>
      <w:r>
        <w:rPr>
          <w:bCs/>
          <w:lang w:val="en-GB"/>
        </w:rPr>
        <w:t xml:space="preserve"> (‘</w:t>
      </w:r>
      <w:r>
        <w:rPr>
          <w:bCs/>
          <w:i/>
          <w:lang w:val="en-GB"/>
        </w:rPr>
        <w:t>Khosa</w:t>
      </w:r>
      <w:r>
        <w:rPr>
          <w:bCs/>
          <w:lang w:val="en-GB"/>
        </w:rPr>
        <w:t>’)</w:t>
      </w:r>
      <w:r w:rsidRPr="003D19A2">
        <w:rPr>
          <w:bCs/>
          <w:lang w:val="en-GB"/>
        </w:rPr>
        <w:t xml:space="preserve">. </w:t>
      </w:r>
    </w:p>
  </w:footnote>
  <w:footnote w:id="114">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Pr>
          <w:i/>
          <w:lang w:val="en-GB"/>
        </w:rPr>
        <w:t xml:space="preserve">Barnard </w:t>
      </w:r>
      <w:r>
        <w:rPr>
          <w:bCs/>
          <w:lang w:val="en-GB"/>
        </w:rPr>
        <w:t>(note </w:t>
      </w:r>
      <w:r>
        <w:rPr>
          <w:bCs/>
          <w:lang w:val="en-GB"/>
        </w:rPr>
        <w:fldChar w:fldCharType="begin"/>
      </w:r>
      <w:r>
        <w:rPr>
          <w:bCs/>
          <w:lang w:val="en-GB"/>
        </w:rPr>
        <w:instrText xml:space="preserve"> NOTEREF _Ref520144191 \h  \* MERGEFORMAT </w:instrText>
      </w:r>
      <w:r>
        <w:rPr>
          <w:bCs/>
          <w:lang w:val="en-GB"/>
        </w:rPr>
      </w:r>
      <w:r>
        <w:rPr>
          <w:bCs/>
          <w:lang w:val="en-GB"/>
        </w:rPr>
        <w:fldChar w:fldCharType="separate"/>
      </w:r>
      <w:r w:rsidR="00F97B66">
        <w:rPr>
          <w:bCs/>
          <w:lang w:val="en-GB"/>
        </w:rPr>
        <w:t>81</w:t>
      </w:r>
      <w:r>
        <w:rPr>
          <w:bCs/>
          <w:lang w:val="en-GB"/>
        </w:rPr>
        <w:fldChar w:fldCharType="end"/>
      </w:r>
      <w:r>
        <w:rPr>
          <w:bCs/>
          <w:lang w:val="en-GB"/>
        </w:rPr>
        <w:t xml:space="preserve"> above) at</w:t>
      </w:r>
      <w:r w:rsidRPr="003D19A2">
        <w:rPr>
          <w:bCs/>
          <w:lang w:val="en-GB"/>
        </w:rPr>
        <w:t xml:space="preserve"> para 175 quoting from </w:t>
      </w:r>
      <w:r w:rsidRPr="003D19A2">
        <w:rPr>
          <w:bCs/>
          <w:i/>
          <w:iCs/>
          <w:lang w:val="en-GB"/>
        </w:rPr>
        <w:t xml:space="preserve">Khosa </w:t>
      </w:r>
      <w:r>
        <w:rPr>
          <w:bCs/>
          <w:iCs/>
          <w:lang w:val="en-GB"/>
        </w:rPr>
        <w:t>(note </w:t>
      </w:r>
      <w:r>
        <w:rPr>
          <w:bCs/>
          <w:iCs/>
          <w:lang w:val="en-GB"/>
        </w:rPr>
        <w:fldChar w:fldCharType="begin"/>
      </w:r>
      <w:r>
        <w:rPr>
          <w:bCs/>
          <w:iCs/>
          <w:lang w:val="en-GB"/>
        </w:rPr>
        <w:instrText xml:space="preserve"> NOTEREF _Ref520146250 \h  \* MERGEFORMAT </w:instrText>
      </w:r>
      <w:r>
        <w:rPr>
          <w:bCs/>
          <w:iCs/>
          <w:lang w:val="en-GB"/>
        </w:rPr>
      </w:r>
      <w:r>
        <w:rPr>
          <w:bCs/>
          <w:iCs/>
          <w:lang w:val="en-GB"/>
        </w:rPr>
        <w:fldChar w:fldCharType="separate"/>
      </w:r>
      <w:r w:rsidR="00F97B66">
        <w:rPr>
          <w:bCs/>
          <w:iCs/>
          <w:lang w:val="en-GB"/>
        </w:rPr>
        <w:t>113</w:t>
      </w:r>
      <w:r>
        <w:rPr>
          <w:bCs/>
          <w:iCs/>
          <w:lang w:val="en-GB"/>
        </w:rPr>
        <w:fldChar w:fldCharType="end"/>
      </w:r>
      <w:r>
        <w:rPr>
          <w:bCs/>
          <w:iCs/>
          <w:lang w:val="en-GB"/>
        </w:rPr>
        <w:t xml:space="preserve"> above) at</w:t>
      </w:r>
      <w:r w:rsidRPr="003D19A2">
        <w:rPr>
          <w:bCs/>
          <w:lang w:val="en-GB"/>
        </w:rPr>
        <w:t xml:space="preserve"> para 74. </w:t>
      </w:r>
    </w:p>
  </w:footnote>
  <w:footnote w:id="115">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t xml:space="preserve">See the discussion of Cornell’s interpretation of Kantian dignity in </w:t>
      </w:r>
      <w:r>
        <w:rPr>
          <w:lang w:val="en-GB"/>
        </w:rPr>
        <w:t xml:space="preserve">the text at note </w:t>
      </w:r>
      <w:r>
        <w:rPr>
          <w:lang w:val="en-GB"/>
        </w:rPr>
        <w:fldChar w:fldCharType="begin"/>
      </w:r>
      <w:r>
        <w:rPr>
          <w:lang w:val="en-GB"/>
        </w:rPr>
        <w:instrText xml:space="preserve"> NOTEREF _Ref480387249 \h  \* MERGEFORMAT </w:instrText>
      </w:r>
      <w:r>
        <w:rPr>
          <w:lang w:val="en-GB"/>
        </w:rPr>
      </w:r>
      <w:r>
        <w:rPr>
          <w:lang w:val="en-GB"/>
        </w:rPr>
        <w:fldChar w:fldCharType="separate"/>
      </w:r>
      <w:r w:rsidR="00F97B66">
        <w:rPr>
          <w:lang w:val="en-GB"/>
        </w:rPr>
        <w:t>49</w:t>
      </w:r>
      <w:r>
        <w:rPr>
          <w:lang w:val="en-GB"/>
        </w:rPr>
        <w:fldChar w:fldCharType="end"/>
      </w:r>
      <w:r>
        <w:rPr>
          <w:lang w:val="en-GB"/>
        </w:rPr>
        <w:t xml:space="preserve"> above.</w:t>
      </w:r>
      <w:r w:rsidRPr="003D19A2">
        <w:rPr>
          <w:lang w:val="en-GB"/>
        </w:rPr>
        <w:t xml:space="preserve"> </w:t>
      </w:r>
    </w:p>
  </w:footnote>
  <w:footnote w:id="116">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Pr>
          <w:i/>
          <w:lang w:val="en-GB"/>
        </w:rPr>
        <w:t xml:space="preserve">Barnard </w:t>
      </w:r>
      <w:r>
        <w:rPr>
          <w:bCs/>
          <w:lang w:val="en-GB"/>
        </w:rPr>
        <w:t>(note </w:t>
      </w:r>
      <w:r>
        <w:rPr>
          <w:bCs/>
          <w:lang w:val="en-GB"/>
        </w:rPr>
        <w:fldChar w:fldCharType="begin"/>
      </w:r>
      <w:r>
        <w:rPr>
          <w:bCs/>
          <w:lang w:val="en-GB"/>
        </w:rPr>
        <w:instrText xml:space="preserve"> NOTEREF _Ref520144191 \h  \* MERGEFORMAT </w:instrText>
      </w:r>
      <w:r>
        <w:rPr>
          <w:bCs/>
          <w:lang w:val="en-GB"/>
        </w:rPr>
      </w:r>
      <w:r>
        <w:rPr>
          <w:bCs/>
          <w:lang w:val="en-GB"/>
        </w:rPr>
        <w:fldChar w:fldCharType="separate"/>
      </w:r>
      <w:r w:rsidR="00F97B66">
        <w:rPr>
          <w:bCs/>
          <w:lang w:val="en-GB"/>
        </w:rPr>
        <w:t>81</w:t>
      </w:r>
      <w:r>
        <w:rPr>
          <w:bCs/>
          <w:lang w:val="en-GB"/>
        </w:rPr>
        <w:fldChar w:fldCharType="end"/>
      </w:r>
      <w:r>
        <w:rPr>
          <w:bCs/>
          <w:lang w:val="en-GB"/>
        </w:rPr>
        <w:t xml:space="preserve"> above) at</w:t>
      </w:r>
      <w:r w:rsidRPr="003D19A2">
        <w:rPr>
          <w:bCs/>
          <w:lang w:val="en-GB"/>
        </w:rPr>
        <w:t xml:space="preserve"> para 175.</w:t>
      </w:r>
      <w:r>
        <w:rPr>
          <w:bCs/>
          <w:lang w:val="en-GB"/>
        </w:rPr>
        <w:t xml:space="preserve"> </w:t>
      </w:r>
    </w:p>
  </w:footnote>
  <w:footnote w:id="117">
    <w:p w:rsidR="00B613DB" w:rsidRPr="003D19A2" w:rsidRDefault="00B613DB" w:rsidP="002F6072">
      <w:pPr>
        <w:pStyle w:val="FootnoteText"/>
      </w:pPr>
      <w:r w:rsidRPr="003D19A2">
        <w:rPr>
          <w:rStyle w:val="FootnoteReference"/>
          <w:lang w:val="en-GB"/>
        </w:rPr>
        <w:footnoteRef/>
      </w:r>
      <w:r w:rsidRPr="003D19A2">
        <w:t xml:space="preserve"> See </w:t>
      </w:r>
      <w:r>
        <w:t>eg</w:t>
      </w:r>
      <w:r w:rsidRPr="003D19A2">
        <w:t xml:space="preserve"> Albertyn </w:t>
      </w:r>
      <w:r>
        <w:rPr>
          <w:lang w:val="en-GB"/>
        </w:rPr>
        <w:t>(note </w:t>
      </w:r>
      <w:r>
        <w:rPr>
          <w:lang w:val="en-GB"/>
        </w:rPr>
        <w:fldChar w:fldCharType="begin"/>
      </w:r>
      <w:r>
        <w:rPr>
          <w:lang w:val="en-GB"/>
        </w:rPr>
        <w:instrText xml:space="preserve"> NOTEREF _Ref483308807 \h  \* MERGEFORMAT </w:instrText>
      </w:r>
      <w:r>
        <w:rPr>
          <w:lang w:val="en-GB"/>
        </w:rPr>
      </w:r>
      <w:r>
        <w:rPr>
          <w:lang w:val="en-GB"/>
        </w:rPr>
        <w:fldChar w:fldCharType="separate"/>
      </w:r>
      <w:r w:rsidR="00F97B66">
        <w:rPr>
          <w:lang w:val="en-GB"/>
        </w:rPr>
        <w:t>78</w:t>
      </w:r>
      <w:r>
        <w:rPr>
          <w:lang w:val="en-GB"/>
        </w:rPr>
        <w:fldChar w:fldCharType="end"/>
      </w:r>
      <w:r>
        <w:rPr>
          <w:lang w:val="en-GB"/>
        </w:rPr>
        <w:t xml:space="preserve"> above) at</w:t>
      </w:r>
      <w:r w:rsidRPr="003D19A2">
        <w:rPr>
          <w:lang w:val="en-GB"/>
        </w:rPr>
        <w:t xml:space="preserve"> </w:t>
      </w:r>
      <w:r w:rsidRPr="003D19A2">
        <w:t xml:space="preserve">344 &amp; </w:t>
      </w:r>
      <w:r>
        <w:t xml:space="preserve">Y </w:t>
      </w:r>
      <w:r w:rsidRPr="003D19A2">
        <w:rPr>
          <w:bCs/>
        </w:rPr>
        <w:t xml:space="preserve">Mokgoro &amp; </w:t>
      </w:r>
      <w:r>
        <w:rPr>
          <w:bCs/>
        </w:rPr>
        <w:t xml:space="preserve">S </w:t>
      </w:r>
      <w:r w:rsidRPr="003D19A2">
        <w:rPr>
          <w:bCs/>
        </w:rPr>
        <w:t>Woolman</w:t>
      </w:r>
      <w:r>
        <w:rPr>
          <w:bCs/>
        </w:rPr>
        <w:t xml:space="preserve"> ‘Where dignity ends and uBuntu begins: An amplification of, as well as an identification of a tension in, Drucilla Cornell’s thoughts’</w:t>
      </w:r>
      <w:r w:rsidRPr="003D19A2">
        <w:rPr>
          <w:bCs/>
        </w:rPr>
        <w:t xml:space="preserve"> </w:t>
      </w:r>
      <w:r>
        <w:rPr>
          <w:bCs/>
        </w:rPr>
        <w:t>(</w:t>
      </w:r>
      <w:r w:rsidRPr="003D19A2">
        <w:rPr>
          <w:bCs/>
        </w:rPr>
        <w:t>2010</w:t>
      </w:r>
      <w:r>
        <w:rPr>
          <w:bCs/>
        </w:rPr>
        <w:t>) 25</w:t>
      </w:r>
      <w:r w:rsidRPr="003D19A2">
        <w:rPr>
          <w:bCs/>
        </w:rPr>
        <w:t xml:space="preserve"> </w:t>
      </w:r>
      <w:r w:rsidRPr="003D19A2">
        <w:rPr>
          <w:bCs/>
          <w:i/>
          <w:iCs/>
        </w:rPr>
        <w:t>S</w:t>
      </w:r>
      <w:r>
        <w:rPr>
          <w:bCs/>
          <w:i/>
          <w:iCs/>
        </w:rPr>
        <w:t xml:space="preserve">outh </w:t>
      </w:r>
      <w:r w:rsidRPr="003D19A2">
        <w:rPr>
          <w:bCs/>
          <w:i/>
          <w:iCs/>
        </w:rPr>
        <w:t>A</w:t>
      </w:r>
      <w:r>
        <w:rPr>
          <w:bCs/>
          <w:i/>
          <w:iCs/>
        </w:rPr>
        <w:t xml:space="preserve">frican </w:t>
      </w:r>
      <w:r w:rsidRPr="003D19A2">
        <w:rPr>
          <w:bCs/>
          <w:i/>
          <w:iCs/>
        </w:rPr>
        <w:t>P</w:t>
      </w:r>
      <w:r>
        <w:rPr>
          <w:bCs/>
          <w:i/>
          <w:iCs/>
        </w:rPr>
        <w:t xml:space="preserve">ublic </w:t>
      </w:r>
      <w:r w:rsidRPr="003D19A2">
        <w:rPr>
          <w:bCs/>
          <w:i/>
          <w:iCs/>
        </w:rPr>
        <w:t>L</w:t>
      </w:r>
      <w:r>
        <w:rPr>
          <w:bCs/>
          <w:i/>
          <w:iCs/>
        </w:rPr>
        <w:t>aw</w:t>
      </w:r>
      <w:r>
        <w:rPr>
          <w:bCs/>
          <w:iCs/>
        </w:rPr>
        <w:t xml:space="preserve"> 400,</w:t>
      </w:r>
      <w:r w:rsidRPr="003D19A2">
        <w:rPr>
          <w:bCs/>
        </w:rPr>
        <w:t xml:space="preserve"> 403 n 10.</w:t>
      </w:r>
    </w:p>
  </w:footnote>
  <w:footnote w:id="118">
    <w:p w:rsidR="00B613DB" w:rsidRPr="003D19A2" w:rsidRDefault="00B613DB" w:rsidP="002F6072">
      <w:pPr>
        <w:pStyle w:val="FootnoteText"/>
        <w:rPr>
          <w:bCs/>
          <w:lang w:val="en-GB"/>
        </w:rPr>
      </w:pPr>
      <w:r w:rsidRPr="003D19A2">
        <w:rPr>
          <w:rStyle w:val="FootnoteReference"/>
          <w:lang w:val="en-GB"/>
        </w:rPr>
        <w:footnoteRef/>
      </w:r>
      <w:r w:rsidRPr="003D19A2">
        <w:rPr>
          <w:lang w:val="en-GB"/>
        </w:rPr>
        <w:t xml:space="preserve"> </w:t>
      </w:r>
      <w:r w:rsidRPr="00925915">
        <w:rPr>
          <w:i/>
          <w:iCs/>
          <w:lang w:val="en-GB"/>
        </w:rPr>
        <w:t>Port Elizabeth</w:t>
      </w:r>
      <w:r w:rsidRPr="00925915">
        <w:rPr>
          <w:iCs/>
          <w:lang w:val="en-GB"/>
        </w:rPr>
        <w:t xml:space="preserve"> (note </w:t>
      </w:r>
      <w:r w:rsidRPr="00925915">
        <w:rPr>
          <w:iCs/>
          <w:lang w:val="en-GB"/>
        </w:rPr>
        <w:fldChar w:fldCharType="begin"/>
      </w:r>
      <w:r w:rsidRPr="00925915">
        <w:rPr>
          <w:iCs/>
          <w:lang w:val="en-GB"/>
        </w:rPr>
        <w:instrText xml:space="preserve"> NOTEREF _Ref520145550 \h </w:instrText>
      </w:r>
      <w:r>
        <w:rPr>
          <w:iCs/>
          <w:lang w:val="en-GB"/>
        </w:rPr>
        <w:instrText xml:space="preserve"> \* MERGEFORMAT </w:instrText>
      </w:r>
      <w:r w:rsidRPr="00925915">
        <w:rPr>
          <w:iCs/>
          <w:lang w:val="en-GB"/>
        </w:rPr>
      </w:r>
      <w:r w:rsidRPr="00925915">
        <w:rPr>
          <w:iCs/>
          <w:lang w:val="en-GB"/>
        </w:rPr>
        <w:fldChar w:fldCharType="separate"/>
      </w:r>
      <w:r w:rsidR="00F97B66">
        <w:rPr>
          <w:iCs/>
          <w:lang w:val="en-GB"/>
        </w:rPr>
        <w:t>99</w:t>
      </w:r>
      <w:r w:rsidRPr="00925915">
        <w:rPr>
          <w:iCs/>
          <w:lang w:val="en-GB"/>
        </w:rPr>
        <w:fldChar w:fldCharType="end"/>
      </w:r>
      <w:r w:rsidRPr="00925915">
        <w:rPr>
          <w:iCs/>
          <w:lang w:val="en-GB"/>
        </w:rPr>
        <w:t xml:space="preserve"> above)</w:t>
      </w:r>
      <w:r>
        <w:rPr>
          <w:iCs/>
          <w:lang w:val="en-GB"/>
        </w:rPr>
        <w:t xml:space="preserve"> at</w:t>
      </w:r>
      <w:r w:rsidRPr="003D19A2">
        <w:rPr>
          <w:bCs/>
          <w:lang w:val="en-GB"/>
        </w:rPr>
        <w:t xml:space="preserve"> para 18. </w:t>
      </w:r>
    </w:p>
  </w:footnote>
  <w:footnote w:id="119">
    <w:p w:rsidR="00F97B66" w:rsidRDefault="00F97B66" w:rsidP="00F97B66">
      <w:pPr>
        <w:pStyle w:val="Footnotes"/>
      </w:pPr>
      <w:r>
        <w:rPr>
          <w:rStyle w:val="FootnoteReference"/>
        </w:rPr>
        <w:footnoteRef/>
      </w:r>
      <w:r>
        <w:t xml:space="preserve"> </w:t>
      </w:r>
      <w:r w:rsidRPr="003D19A2">
        <w:rPr>
          <w:bCs/>
          <w:i/>
          <w:iCs/>
        </w:rPr>
        <w:t xml:space="preserve">Sasfin (Pty) Ltd v Beukes </w:t>
      </w:r>
      <w:r w:rsidRPr="003D19A2">
        <w:rPr>
          <w:bCs/>
        </w:rPr>
        <w:t>1989 1 SA 1 (A)</w:t>
      </w:r>
      <w:r>
        <w:t xml:space="preserve"> 7 (‘</w:t>
      </w:r>
      <w:r>
        <w:rPr>
          <w:i/>
        </w:rPr>
        <w:t>Sasfin</w:t>
      </w:r>
      <w:r>
        <w:t>’).</w:t>
      </w:r>
    </w:p>
  </w:footnote>
  <w:footnote w:id="120">
    <w:p w:rsidR="00B613DB" w:rsidRPr="00BA0084"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sidRPr="003D19A2">
        <w:rPr>
          <w:bCs/>
          <w:i/>
          <w:iCs/>
          <w:lang w:val="en-GB"/>
        </w:rPr>
        <w:t xml:space="preserve">Sasfin </w:t>
      </w:r>
      <w:r w:rsidR="00F97B66">
        <w:rPr>
          <w:bCs/>
          <w:iCs/>
          <w:lang w:val="en-GB"/>
        </w:rPr>
        <w:t xml:space="preserve">(note </w:t>
      </w:r>
      <w:r w:rsidR="00F97B66">
        <w:rPr>
          <w:bCs/>
          <w:iCs/>
          <w:lang w:val="en-GB"/>
        </w:rPr>
        <w:fldChar w:fldCharType="begin"/>
      </w:r>
      <w:r w:rsidR="00F97B66">
        <w:rPr>
          <w:bCs/>
          <w:iCs/>
          <w:lang w:val="en-GB"/>
        </w:rPr>
        <w:instrText xml:space="preserve"> NOTEREF _Ref520149581 \h </w:instrText>
      </w:r>
      <w:r w:rsidR="00F97B66">
        <w:rPr>
          <w:bCs/>
          <w:iCs/>
          <w:lang w:val="en-GB"/>
        </w:rPr>
      </w:r>
      <w:r w:rsidR="00F97B66">
        <w:rPr>
          <w:bCs/>
          <w:iCs/>
          <w:lang w:val="en-GB"/>
        </w:rPr>
        <w:fldChar w:fldCharType="separate"/>
      </w:r>
      <w:r w:rsidR="00F97B66">
        <w:rPr>
          <w:bCs/>
          <w:iCs/>
          <w:lang w:val="en-GB"/>
        </w:rPr>
        <w:t>119</w:t>
      </w:r>
      <w:r w:rsidR="00F97B66">
        <w:rPr>
          <w:bCs/>
          <w:iCs/>
          <w:lang w:val="en-GB"/>
        </w:rPr>
        <w:fldChar w:fldCharType="end"/>
      </w:r>
      <w:r w:rsidR="00F97B66">
        <w:rPr>
          <w:bCs/>
          <w:iCs/>
          <w:lang w:val="en-GB"/>
        </w:rPr>
        <w:t xml:space="preserve"> above) at</w:t>
      </w:r>
      <w:r w:rsidRPr="00F97B66">
        <w:rPr>
          <w:lang w:val="en-GB"/>
        </w:rPr>
        <w:t xml:space="preserve"> 7, 13-14</w:t>
      </w:r>
      <w:r w:rsidR="00F97B66" w:rsidRPr="00F97B66">
        <w:rPr>
          <w:lang w:val="en-GB"/>
        </w:rPr>
        <w:t>.</w:t>
      </w:r>
    </w:p>
  </w:footnote>
  <w:footnote w:id="121">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sidR="00F97B66" w:rsidRPr="003D19A2">
        <w:rPr>
          <w:bCs/>
          <w:i/>
          <w:iCs/>
          <w:lang w:val="en-GB"/>
        </w:rPr>
        <w:t xml:space="preserve">Sasfin </w:t>
      </w:r>
      <w:r w:rsidR="00F97B66">
        <w:rPr>
          <w:bCs/>
          <w:iCs/>
          <w:lang w:val="en-GB"/>
        </w:rPr>
        <w:t xml:space="preserve">(note </w:t>
      </w:r>
      <w:r w:rsidR="00F97B66">
        <w:rPr>
          <w:bCs/>
          <w:iCs/>
          <w:lang w:val="en-GB"/>
        </w:rPr>
        <w:fldChar w:fldCharType="begin"/>
      </w:r>
      <w:r w:rsidR="00F97B66">
        <w:rPr>
          <w:bCs/>
          <w:iCs/>
          <w:lang w:val="en-GB"/>
        </w:rPr>
        <w:instrText xml:space="preserve"> NOTEREF _Ref520149581 \h </w:instrText>
      </w:r>
      <w:r w:rsidR="00F97B66">
        <w:rPr>
          <w:bCs/>
          <w:iCs/>
          <w:lang w:val="en-GB"/>
        </w:rPr>
      </w:r>
      <w:r w:rsidR="00F97B66">
        <w:rPr>
          <w:bCs/>
          <w:iCs/>
          <w:lang w:val="en-GB"/>
        </w:rPr>
        <w:fldChar w:fldCharType="separate"/>
      </w:r>
      <w:r w:rsidR="00F97B66">
        <w:rPr>
          <w:bCs/>
          <w:iCs/>
          <w:lang w:val="en-GB"/>
        </w:rPr>
        <w:t>119</w:t>
      </w:r>
      <w:r w:rsidR="00F97B66">
        <w:rPr>
          <w:bCs/>
          <w:iCs/>
          <w:lang w:val="en-GB"/>
        </w:rPr>
        <w:fldChar w:fldCharType="end"/>
      </w:r>
      <w:r w:rsidR="00F97B66">
        <w:rPr>
          <w:bCs/>
          <w:iCs/>
          <w:lang w:val="en-GB"/>
        </w:rPr>
        <w:t xml:space="preserve"> above)</w:t>
      </w:r>
      <w:r>
        <w:rPr>
          <w:bCs/>
          <w:iCs/>
          <w:lang w:val="en-GB"/>
        </w:rPr>
        <w:t xml:space="preserve"> at </w:t>
      </w:r>
      <w:r w:rsidRPr="003D19A2">
        <w:rPr>
          <w:lang w:val="en-GB"/>
        </w:rPr>
        <w:t>7-8.</w:t>
      </w:r>
    </w:p>
  </w:footnote>
  <w:footnote w:id="122">
    <w:p w:rsidR="00B613DB" w:rsidRPr="003D19A2" w:rsidRDefault="00B613DB" w:rsidP="002F6072">
      <w:pPr>
        <w:pStyle w:val="FootnoteText"/>
        <w:rPr>
          <w:i/>
          <w:iCs/>
          <w:lang w:val="en-GB"/>
        </w:rPr>
      </w:pPr>
      <w:r w:rsidRPr="003D19A2">
        <w:rPr>
          <w:rStyle w:val="FootnoteReference"/>
          <w:lang w:val="en-GB"/>
        </w:rPr>
        <w:footnoteRef/>
      </w:r>
      <w:r w:rsidRPr="003D19A2">
        <w:rPr>
          <w:lang w:val="en-GB"/>
        </w:rPr>
        <w:t xml:space="preserve"> </w:t>
      </w:r>
      <w:r w:rsidRPr="003D19A2">
        <w:rPr>
          <w:lang w:val="en-GB"/>
        </w:rPr>
        <w:tab/>
      </w:r>
      <w:r>
        <w:rPr>
          <w:bCs/>
          <w:iCs/>
          <w:lang w:val="en-GB"/>
        </w:rPr>
        <w:t>Ibid.</w:t>
      </w:r>
    </w:p>
  </w:footnote>
  <w:footnote w:id="123">
    <w:p w:rsidR="00B613DB" w:rsidRPr="002A42C7" w:rsidRDefault="00B613DB" w:rsidP="002F6072">
      <w:pPr>
        <w:pStyle w:val="FootnoteText"/>
      </w:pPr>
      <w:r>
        <w:rPr>
          <w:rStyle w:val="FootnoteReference"/>
        </w:rPr>
        <w:footnoteRef/>
      </w:r>
      <w:r>
        <w:t xml:space="preserve"> </w:t>
      </w:r>
      <w:r>
        <w:tab/>
        <w:t>See discussion in the text at n </w:t>
      </w:r>
      <w:r>
        <w:fldChar w:fldCharType="begin"/>
      </w:r>
      <w:r>
        <w:instrText xml:space="preserve"> NOTEREF _Ref517438957 \h  \* MERGEFORMAT </w:instrText>
      </w:r>
      <w:r>
        <w:fldChar w:fldCharType="separate"/>
      </w:r>
      <w:r w:rsidR="00F97B66">
        <w:t>26</w:t>
      </w:r>
      <w:r>
        <w:fldChar w:fldCharType="end"/>
      </w:r>
      <w:r>
        <w:t xml:space="preserve"> above.</w:t>
      </w:r>
    </w:p>
  </w:footnote>
  <w:footnote w:id="124">
    <w:p w:rsidR="00B613DB" w:rsidRPr="003D19A2" w:rsidRDefault="00B613DB" w:rsidP="002F6072">
      <w:pPr>
        <w:pStyle w:val="FootnoteText"/>
        <w:rPr>
          <w:highlight w:val="yellow"/>
          <w:lang w:val="en-GB"/>
        </w:rPr>
      </w:pPr>
      <w:r w:rsidRPr="003D19A2">
        <w:rPr>
          <w:rStyle w:val="FootnoteReference"/>
          <w:lang w:val="en-GB"/>
        </w:rPr>
        <w:footnoteRef/>
      </w:r>
      <w:r w:rsidRPr="003D19A2">
        <w:rPr>
          <w:lang w:val="en-GB"/>
        </w:rPr>
        <w:t xml:space="preserve"> </w:t>
      </w:r>
      <w:r w:rsidR="00F97B66" w:rsidRPr="003D19A2">
        <w:rPr>
          <w:bCs/>
          <w:i/>
          <w:iCs/>
          <w:lang w:val="en-GB"/>
        </w:rPr>
        <w:t xml:space="preserve">Sasfin </w:t>
      </w:r>
      <w:r w:rsidR="00F97B66">
        <w:rPr>
          <w:bCs/>
          <w:iCs/>
          <w:lang w:val="en-GB"/>
        </w:rPr>
        <w:t xml:space="preserve">(note </w:t>
      </w:r>
      <w:r w:rsidR="00F97B66">
        <w:rPr>
          <w:bCs/>
          <w:iCs/>
          <w:lang w:val="en-GB"/>
        </w:rPr>
        <w:fldChar w:fldCharType="begin"/>
      </w:r>
      <w:r w:rsidR="00F97B66">
        <w:rPr>
          <w:bCs/>
          <w:iCs/>
          <w:lang w:val="en-GB"/>
        </w:rPr>
        <w:instrText xml:space="preserve"> NOTEREF _Ref520149581 \h </w:instrText>
      </w:r>
      <w:r w:rsidR="00F97B66">
        <w:rPr>
          <w:bCs/>
          <w:iCs/>
          <w:lang w:val="en-GB"/>
        </w:rPr>
      </w:r>
      <w:r w:rsidR="00F97B66">
        <w:rPr>
          <w:bCs/>
          <w:iCs/>
          <w:lang w:val="en-GB"/>
        </w:rPr>
        <w:fldChar w:fldCharType="separate"/>
      </w:r>
      <w:r w:rsidR="00F97B66">
        <w:rPr>
          <w:bCs/>
          <w:iCs/>
          <w:lang w:val="en-GB"/>
        </w:rPr>
        <w:t>119</w:t>
      </w:r>
      <w:r w:rsidR="00F97B66">
        <w:rPr>
          <w:bCs/>
          <w:iCs/>
          <w:lang w:val="en-GB"/>
        </w:rPr>
        <w:fldChar w:fldCharType="end"/>
      </w:r>
      <w:r w:rsidR="00F97B66">
        <w:rPr>
          <w:bCs/>
          <w:iCs/>
          <w:lang w:val="en-GB"/>
        </w:rPr>
        <w:t xml:space="preserve"> above) </w:t>
      </w:r>
      <w:r>
        <w:rPr>
          <w:bCs/>
          <w:iCs/>
          <w:lang w:val="en-GB"/>
        </w:rPr>
        <w:t xml:space="preserve">at </w:t>
      </w:r>
      <w:r w:rsidRPr="003D19A2">
        <w:rPr>
          <w:lang w:val="en-GB"/>
        </w:rPr>
        <w:t xml:space="preserve">9. </w:t>
      </w:r>
    </w:p>
  </w:footnote>
  <w:footnote w:id="125">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Pr>
          <w:bCs/>
          <w:iCs/>
          <w:lang w:val="en-GB"/>
        </w:rPr>
        <w:t xml:space="preserve">Ibid at </w:t>
      </w:r>
      <w:r w:rsidRPr="003D19A2">
        <w:rPr>
          <w:bCs/>
          <w:lang w:val="en-GB"/>
        </w:rPr>
        <w:t>13.</w:t>
      </w:r>
    </w:p>
  </w:footnote>
  <w:footnote w:id="126">
    <w:p w:rsidR="00B613DB" w:rsidRDefault="00B613DB" w:rsidP="002F6072">
      <w:pPr>
        <w:pStyle w:val="FootnoteText"/>
      </w:pPr>
      <w:r>
        <w:rPr>
          <w:rStyle w:val="FootnoteReference"/>
        </w:rPr>
        <w:footnoteRef/>
      </w:r>
      <w:r>
        <w:t xml:space="preserve"> </w:t>
      </w:r>
      <w:r>
        <w:tab/>
      </w:r>
      <w:r>
        <w:rPr>
          <w:lang w:val="en-GB"/>
        </w:rPr>
        <w:t>See also Floyd ‘</w:t>
      </w:r>
      <w:r w:rsidRPr="003D19A2">
        <w:rPr>
          <w:lang w:val="en-GB"/>
        </w:rPr>
        <w:t>Legality</w:t>
      </w:r>
      <w:r>
        <w:rPr>
          <w:lang w:val="en-GB"/>
        </w:rPr>
        <w:t>’</w:t>
      </w:r>
      <w:r w:rsidRPr="003D19A2">
        <w:rPr>
          <w:lang w:val="en-GB"/>
        </w:rPr>
        <w:t xml:space="preserve"> in</w:t>
      </w:r>
      <w:r>
        <w:rPr>
          <w:lang w:val="en-GB"/>
        </w:rPr>
        <w:t xml:space="preserve"> D</w:t>
      </w:r>
      <w:r w:rsidRPr="003D19A2">
        <w:rPr>
          <w:lang w:val="en-GB"/>
        </w:rPr>
        <w:t xml:space="preserve"> </w:t>
      </w:r>
      <w:r w:rsidRPr="003D19A2">
        <w:rPr>
          <w:bCs/>
          <w:lang w:val="en-GB"/>
        </w:rPr>
        <w:t xml:space="preserve">Hutchison &amp; </w:t>
      </w:r>
      <w:r>
        <w:rPr>
          <w:bCs/>
          <w:lang w:val="en-GB"/>
        </w:rPr>
        <w:t xml:space="preserve">C </w:t>
      </w:r>
      <w:r w:rsidRPr="003D19A2">
        <w:rPr>
          <w:bCs/>
          <w:lang w:val="en-GB"/>
        </w:rPr>
        <w:t xml:space="preserve">Pretorius (eds) </w:t>
      </w:r>
      <w:r>
        <w:rPr>
          <w:bCs/>
          <w:i/>
          <w:iCs/>
          <w:lang w:val="en-GB"/>
        </w:rPr>
        <w:t>The law of c</w:t>
      </w:r>
      <w:r w:rsidRPr="003D19A2">
        <w:rPr>
          <w:bCs/>
          <w:i/>
          <w:iCs/>
          <w:lang w:val="en-GB"/>
        </w:rPr>
        <w:t>ontract</w:t>
      </w:r>
      <w:r>
        <w:rPr>
          <w:bCs/>
          <w:i/>
          <w:iCs/>
          <w:lang w:val="en-GB"/>
        </w:rPr>
        <w:t xml:space="preserve"> in South Africa</w:t>
      </w:r>
      <w:r w:rsidRPr="003D19A2">
        <w:rPr>
          <w:bCs/>
          <w:i/>
          <w:iCs/>
          <w:lang w:val="en-GB"/>
        </w:rPr>
        <w:t xml:space="preserve"> </w:t>
      </w:r>
      <w:r w:rsidRPr="003D19A2">
        <w:rPr>
          <w:bCs/>
          <w:lang w:val="en-GB"/>
        </w:rPr>
        <w:t>(</w:t>
      </w:r>
      <w:r>
        <w:rPr>
          <w:bCs/>
          <w:lang w:val="en-GB"/>
        </w:rPr>
        <w:t>2</w:t>
      </w:r>
      <w:r w:rsidRPr="00BA0084">
        <w:rPr>
          <w:bCs/>
          <w:vertAlign w:val="superscript"/>
          <w:lang w:val="en-GB"/>
        </w:rPr>
        <w:t>nd</w:t>
      </w:r>
      <w:r>
        <w:rPr>
          <w:bCs/>
          <w:lang w:val="en-GB"/>
        </w:rPr>
        <w:t xml:space="preserve"> Edition, </w:t>
      </w:r>
      <w:r w:rsidRPr="003D19A2">
        <w:rPr>
          <w:bCs/>
          <w:lang w:val="en-GB"/>
        </w:rPr>
        <w:t>2012) 186.</w:t>
      </w:r>
      <w:r>
        <w:rPr>
          <w:bCs/>
          <w:lang w:val="en-GB"/>
        </w:rPr>
        <w:t xml:space="preserve"> </w:t>
      </w:r>
    </w:p>
  </w:footnote>
  <w:footnote w:id="127">
    <w:p w:rsidR="00B613DB" w:rsidRDefault="00B613DB" w:rsidP="002F6072">
      <w:pPr>
        <w:pStyle w:val="FootnoteText"/>
      </w:pPr>
      <w:r>
        <w:rPr>
          <w:rStyle w:val="FootnoteReference"/>
        </w:rPr>
        <w:footnoteRef/>
      </w:r>
      <w:r>
        <w:t xml:space="preserve"> </w:t>
      </w:r>
      <w:r>
        <w:tab/>
        <w:t>See the discussion in the text at n </w:t>
      </w:r>
      <w:r>
        <w:fldChar w:fldCharType="begin"/>
      </w:r>
      <w:r>
        <w:instrText xml:space="preserve"> NOTEREF _Ref517439213 \h  \* MERGEFORMAT </w:instrText>
      </w:r>
      <w:r>
        <w:fldChar w:fldCharType="separate"/>
      </w:r>
      <w:r w:rsidR="00F97B66">
        <w:t>39</w:t>
      </w:r>
      <w:r>
        <w:fldChar w:fldCharType="end"/>
      </w:r>
      <w:r>
        <w:t xml:space="preserve"> above.</w:t>
      </w:r>
    </w:p>
  </w:footnote>
  <w:footnote w:id="128">
    <w:p w:rsidR="00B613DB" w:rsidRPr="003D19A2" w:rsidRDefault="00B613DB" w:rsidP="002F6072">
      <w:pPr>
        <w:pStyle w:val="FootnoteText"/>
      </w:pPr>
      <w:r w:rsidRPr="003D19A2">
        <w:rPr>
          <w:rStyle w:val="FootnoteReference"/>
        </w:rPr>
        <w:footnoteRef/>
      </w:r>
      <w:r w:rsidRPr="003D19A2">
        <w:t xml:space="preserve"> </w:t>
      </w:r>
      <w:r w:rsidRPr="003D19A2">
        <w:tab/>
      </w:r>
      <w:r>
        <w:t xml:space="preserve">G </w:t>
      </w:r>
      <w:r w:rsidRPr="003D19A2">
        <w:rPr>
          <w:bCs/>
        </w:rPr>
        <w:t>Lubbe</w:t>
      </w:r>
      <w:r>
        <w:rPr>
          <w:bCs/>
        </w:rPr>
        <w:t xml:space="preserve"> ‘</w:t>
      </w:r>
      <w:r>
        <w:rPr>
          <w:bCs/>
          <w:i/>
        </w:rPr>
        <w:t>Bona fides</w:t>
      </w:r>
      <w:r>
        <w:rPr>
          <w:bCs/>
        </w:rPr>
        <w:t>, billikheid en die openbare belang in die Suid-Afrikaanse kontraktereg’</w:t>
      </w:r>
      <w:r w:rsidRPr="003D19A2">
        <w:rPr>
          <w:bCs/>
        </w:rPr>
        <w:t xml:space="preserve"> </w:t>
      </w:r>
      <w:r>
        <w:rPr>
          <w:bCs/>
        </w:rPr>
        <w:t>(</w:t>
      </w:r>
      <w:r w:rsidRPr="003D19A2">
        <w:rPr>
          <w:bCs/>
        </w:rPr>
        <w:t>1990</w:t>
      </w:r>
      <w:r>
        <w:rPr>
          <w:bCs/>
        </w:rPr>
        <w:t>) 1</w:t>
      </w:r>
      <w:r w:rsidRPr="003D19A2">
        <w:rPr>
          <w:bCs/>
        </w:rPr>
        <w:t xml:space="preserve"> </w:t>
      </w:r>
      <w:r w:rsidRPr="003D19A2">
        <w:rPr>
          <w:bCs/>
          <w:i/>
          <w:iCs/>
        </w:rPr>
        <w:t>Stell</w:t>
      </w:r>
      <w:r>
        <w:rPr>
          <w:bCs/>
          <w:i/>
          <w:iCs/>
        </w:rPr>
        <w:t>enbosch</w:t>
      </w:r>
      <w:r w:rsidRPr="003D19A2">
        <w:rPr>
          <w:bCs/>
          <w:i/>
          <w:iCs/>
        </w:rPr>
        <w:t xml:space="preserve"> L</w:t>
      </w:r>
      <w:r>
        <w:rPr>
          <w:bCs/>
          <w:i/>
          <w:iCs/>
        </w:rPr>
        <w:t xml:space="preserve">aw </w:t>
      </w:r>
      <w:r w:rsidRPr="003D19A2">
        <w:rPr>
          <w:bCs/>
          <w:i/>
          <w:iCs/>
        </w:rPr>
        <w:t>R</w:t>
      </w:r>
      <w:r>
        <w:rPr>
          <w:bCs/>
          <w:i/>
          <w:iCs/>
        </w:rPr>
        <w:t>eview</w:t>
      </w:r>
      <w:r>
        <w:rPr>
          <w:bCs/>
          <w:iCs/>
        </w:rPr>
        <w:t xml:space="preserve"> 7,</w:t>
      </w:r>
      <w:r w:rsidRPr="003D19A2">
        <w:rPr>
          <w:bCs/>
        </w:rPr>
        <w:t xml:space="preserve"> 13. See also </w:t>
      </w:r>
      <w:r>
        <w:rPr>
          <w:bCs/>
        </w:rPr>
        <w:t xml:space="preserve">J </w:t>
      </w:r>
      <w:r w:rsidRPr="003D19A2">
        <w:rPr>
          <w:bCs/>
        </w:rPr>
        <w:t>Lewis</w:t>
      </w:r>
      <w:r>
        <w:rPr>
          <w:bCs/>
        </w:rPr>
        <w:t xml:space="preserve"> ‘Fairness in South African law’</w:t>
      </w:r>
      <w:r w:rsidRPr="003D19A2">
        <w:rPr>
          <w:bCs/>
        </w:rPr>
        <w:t xml:space="preserve"> </w:t>
      </w:r>
      <w:r>
        <w:rPr>
          <w:bCs/>
        </w:rPr>
        <w:t>(</w:t>
      </w:r>
      <w:r w:rsidRPr="003D19A2">
        <w:rPr>
          <w:bCs/>
        </w:rPr>
        <w:t>2003</w:t>
      </w:r>
      <w:r>
        <w:rPr>
          <w:bCs/>
        </w:rPr>
        <w:t>) 120</w:t>
      </w:r>
      <w:r w:rsidRPr="003D19A2">
        <w:rPr>
          <w:bCs/>
        </w:rPr>
        <w:t xml:space="preserve"> </w:t>
      </w:r>
      <w:r w:rsidRPr="003D19A2">
        <w:rPr>
          <w:bCs/>
          <w:i/>
          <w:iCs/>
        </w:rPr>
        <w:t>S</w:t>
      </w:r>
      <w:r>
        <w:rPr>
          <w:bCs/>
          <w:i/>
          <w:iCs/>
        </w:rPr>
        <w:t xml:space="preserve">outh </w:t>
      </w:r>
      <w:r w:rsidRPr="003D19A2">
        <w:rPr>
          <w:bCs/>
          <w:i/>
          <w:iCs/>
        </w:rPr>
        <w:t>A</w:t>
      </w:r>
      <w:r>
        <w:rPr>
          <w:bCs/>
          <w:i/>
          <w:iCs/>
        </w:rPr>
        <w:t xml:space="preserve">frican </w:t>
      </w:r>
      <w:r w:rsidRPr="003D19A2">
        <w:rPr>
          <w:bCs/>
          <w:i/>
          <w:iCs/>
        </w:rPr>
        <w:t>L</w:t>
      </w:r>
      <w:r>
        <w:rPr>
          <w:bCs/>
          <w:i/>
          <w:iCs/>
        </w:rPr>
        <w:t xml:space="preserve">aw </w:t>
      </w:r>
      <w:r w:rsidRPr="003D19A2">
        <w:rPr>
          <w:bCs/>
          <w:i/>
          <w:iCs/>
        </w:rPr>
        <w:t>J</w:t>
      </w:r>
      <w:r>
        <w:rPr>
          <w:bCs/>
          <w:i/>
          <w:iCs/>
        </w:rPr>
        <w:t>ournal</w:t>
      </w:r>
      <w:r w:rsidRPr="003D19A2">
        <w:rPr>
          <w:bCs/>
        </w:rPr>
        <w:t xml:space="preserve"> </w:t>
      </w:r>
      <w:r>
        <w:rPr>
          <w:bCs/>
        </w:rPr>
        <w:t xml:space="preserve">330, </w:t>
      </w:r>
      <w:r w:rsidRPr="003D19A2">
        <w:rPr>
          <w:bCs/>
        </w:rPr>
        <w:t>334.</w:t>
      </w:r>
    </w:p>
  </w:footnote>
  <w:footnote w:id="129">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sidR="00F97B66" w:rsidRPr="003D19A2">
        <w:rPr>
          <w:bCs/>
          <w:i/>
          <w:iCs/>
          <w:lang w:val="en-GB"/>
        </w:rPr>
        <w:t xml:space="preserve">Sasfin </w:t>
      </w:r>
      <w:r w:rsidR="00F97B66">
        <w:rPr>
          <w:bCs/>
          <w:iCs/>
          <w:lang w:val="en-GB"/>
        </w:rPr>
        <w:t xml:space="preserve">(note </w:t>
      </w:r>
      <w:r w:rsidR="00F97B66">
        <w:rPr>
          <w:bCs/>
          <w:iCs/>
          <w:lang w:val="en-GB"/>
        </w:rPr>
        <w:fldChar w:fldCharType="begin"/>
      </w:r>
      <w:r w:rsidR="00F97B66">
        <w:rPr>
          <w:bCs/>
          <w:iCs/>
          <w:lang w:val="en-GB"/>
        </w:rPr>
        <w:instrText xml:space="preserve"> NOTEREF _Ref520149581 \h </w:instrText>
      </w:r>
      <w:r w:rsidR="00F97B66">
        <w:rPr>
          <w:bCs/>
          <w:iCs/>
          <w:lang w:val="en-GB"/>
        </w:rPr>
      </w:r>
      <w:r w:rsidR="00F97B66">
        <w:rPr>
          <w:bCs/>
          <w:iCs/>
          <w:lang w:val="en-GB"/>
        </w:rPr>
        <w:fldChar w:fldCharType="separate"/>
      </w:r>
      <w:r w:rsidR="00F97B66">
        <w:rPr>
          <w:bCs/>
          <w:iCs/>
          <w:lang w:val="en-GB"/>
        </w:rPr>
        <w:t>119</w:t>
      </w:r>
      <w:r w:rsidR="00F97B66">
        <w:rPr>
          <w:bCs/>
          <w:iCs/>
          <w:lang w:val="en-GB"/>
        </w:rPr>
        <w:fldChar w:fldCharType="end"/>
      </w:r>
      <w:r w:rsidR="00F97B66">
        <w:rPr>
          <w:bCs/>
          <w:iCs/>
          <w:lang w:val="en-GB"/>
        </w:rPr>
        <w:t xml:space="preserve"> above)</w:t>
      </w:r>
      <w:r w:rsidR="00F97B66">
        <w:rPr>
          <w:b/>
          <w:bCs/>
          <w:iCs/>
          <w:lang w:val="en-GB"/>
        </w:rPr>
        <w:t xml:space="preserve"> </w:t>
      </w:r>
      <w:r>
        <w:rPr>
          <w:bCs/>
          <w:iCs/>
          <w:lang w:val="en-GB"/>
        </w:rPr>
        <w:t xml:space="preserve">at </w:t>
      </w:r>
      <w:r w:rsidRPr="003D19A2">
        <w:rPr>
          <w:lang w:val="en-GB"/>
        </w:rPr>
        <w:t xml:space="preserve">18-19. </w:t>
      </w:r>
    </w:p>
  </w:footnote>
  <w:footnote w:id="130">
    <w:p w:rsidR="00B613DB" w:rsidRPr="003D19A2" w:rsidRDefault="00B613DB" w:rsidP="002F6072">
      <w:pPr>
        <w:pStyle w:val="FootnoteText"/>
      </w:pPr>
      <w:r w:rsidRPr="003D19A2">
        <w:rPr>
          <w:rStyle w:val="FootnoteReference"/>
        </w:rPr>
        <w:footnoteRef/>
      </w:r>
      <w:r w:rsidRPr="003D19A2">
        <w:t xml:space="preserve"> </w:t>
      </w:r>
      <w:r w:rsidRPr="003D19A2">
        <w:tab/>
        <w:t xml:space="preserve">Lubbe </w:t>
      </w:r>
      <w:r>
        <w:rPr>
          <w:bCs/>
          <w:lang w:val="en-GB"/>
        </w:rPr>
        <w:t>(note </w:t>
      </w:r>
      <w:r>
        <w:rPr>
          <w:bCs/>
          <w:lang w:val="en-GB"/>
        </w:rPr>
        <w:fldChar w:fldCharType="begin"/>
      </w:r>
      <w:r>
        <w:rPr>
          <w:bCs/>
          <w:lang w:val="en-GB"/>
        </w:rPr>
        <w:instrText xml:space="preserve"> NOTEREF _Ref520139260 \h  \* MERGEFORMAT </w:instrText>
      </w:r>
      <w:r>
        <w:rPr>
          <w:bCs/>
          <w:lang w:val="en-GB"/>
        </w:rPr>
      </w:r>
      <w:r>
        <w:rPr>
          <w:bCs/>
          <w:lang w:val="en-GB"/>
        </w:rPr>
        <w:fldChar w:fldCharType="separate"/>
      </w:r>
      <w:r w:rsidR="00F97B66">
        <w:rPr>
          <w:bCs/>
          <w:lang w:val="en-GB"/>
        </w:rPr>
        <w:t>10</w:t>
      </w:r>
      <w:r>
        <w:rPr>
          <w:bCs/>
          <w:lang w:val="en-GB"/>
        </w:rPr>
        <w:fldChar w:fldCharType="end"/>
      </w:r>
      <w:r>
        <w:rPr>
          <w:bCs/>
          <w:lang w:val="en-GB"/>
        </w:rPr>
        <w:t xml:space="preserve"> above) at</w:t>
      </w:r>
      <w:r w:rsidRPr="003D19A2">
        <w:t xml:space="preserve"> 421 n 188 referring to </w:t>
      </w:r>
      <w:r w:rsidRPr="003D19A2">
        <w:rPr>
          <w:bCs/>
        </w:rPr>
        <w:t xml:space="preserve">Beyleveld &amp; Brownsword </w:t>
      </w:r>
      <w:r>
        <w:rPr>
          <w:bCs/>
          <w:lang w:val="en-GB"/>
        </w:rPr>
        <w:t>(note </w:t>
      </w:r>
      <w:r>
        <w:rPr>
          <w:bCs/>
          <w:lang w:val="en-GB"/>
        </w:rPr>
        <w:fldChar w:fldCharType="begin"/>
      </w:r>
      <w:r>
        <w:rPr>
          <w:bCs/>
          <w:lang w:val="en-GB"/>
        </w:rPr>
        <w:instrText xml:space="preserve"> NOTEREF _Ref520140830 \h  \* MERGEFORMAT </w:instrText>
      </w:r>
      <w:r>
        <w:rPr>
          <w:bCs/>
          <w:lang w:val="en-GB"/>
        </w:rPr>
      </w:r>
      <w:r>
        <w:rPr>
          <w:bCs/>
          <w:lang w:val="en-GB"/>
        </w:rPr>
        <w:fldChar w:fldCharType="separate"/>
      </w:r>
      <w:r w:rsidR="00F97B66">
        <w:rPr>
          <w:bCs/>
          <w:lang w:val="en-GB"/>
        </w:rPr>
        <w:t>15</w:t>
      </w:r>
      <w:r>
        <w:rPr>
          <w:bCs/>
          <w:lang w:val="en-GB"/>
        </w:rPr>
        <w:fldChar w:fldCharType="end"/>
      </w:r>
      <w:r>
        <w:rPr>
          <w:bCs/>
          <w:lang w:val="en-GB"/>
        </w:rPr>
        <w:t xml:space="preserve"> above) at</w:t>
      </w:r>
      <w:r w:rsidRPr="003D19A2">
        <w:rPr>
          <w:bCs/>
        </w:rPr>
        <w:t xml:space="preserve"> 666 n 30. See also </w:t>
      </w:r>
      <w:r w:rsidRPr="003D19A2">
        <w:t xml:space="preserve">Woolman </w:t>
      </w:r>
      <w:r>
        <w:t xml:space="preserve">(note </w:t>
      </w:r>
      <w:r>
        <w:fldChar w:fldCharType="begin"/>
      </w:r>
      <w:r>
        <w:instrText xml:space="preserve"> NOTEREF _Ref520143309 \h  \* MERGEFORMAT </w:instrText>
      </w:r>
      <w:r>
        <w:fldChar w:fldCharType="separate"/>
      </w:r>
      <w:r w:rsidR="00F97B66">
        <w:t>66</w:t>
      </w:r>
      <w:r>
        <w:fldChar w:fldCharType="end"/>
      </w:r>
      <w:r>
        <w:t xml:space="preserve"> above) at</w:t>
      </w:r>
      <w:r w:rsidRPr="003D19A2">
        <w:t xml:space="preserve"> para 36.2(</w:t>
      </w:r>
      <w:r w:rsidRPr="003D19A2">
        <w:rPr>
          <w:i/>
          <w:iCs/>
        </w:rPr>
        <w:t>b</w:t>
      </w:r>
      <w:r w:rsidRPr="003D19A2">
        <w:t xml:space="preserve">). </w:t>
      </w:r>
    </w:p>
  </w:footnote>
  <w:footnote w:id="131">
    <w:p w:rsidR="00B613DB" w:rsidRPr="003D19A2" w:rsidRDefault="00B613DB" w:rsidP="002F6072">
      <w:pPr>
        <w:pStyle w:val="FootnoteText"/>
      </w:pPr>
      <w:r w:rsidRPr="003D19A2">
        <w:rPr>
          <w:rStyle w:val="FootnoteReference"/>
        </w:rPr>
        <w:footnoteRef/>
      </w:r>
      <w:r w:rsidRPr="003D19A2">
        <w:t xml:space="preserve"> </w:t>
      </w:r>
      <w:r w:rsidRPr="003D19A2">
        <w:tab/>
        <w:t xml:space="preserve">Lubbe </w:t>
      </w:r>
      <w:r>
        <w:rPr>
          <w:bCs/>
          <w:lang w:val="en-GB"/>
        </w:rPr>
        <w:t>(note </w:t>
      </w:r>
      <w:r>
        <w:rPr>
          <w:bCs/>
          <w:lang w:val="en-GB"/>
        </w:rPr>
        <w:fldChar w:fldCharType="begin"/>
      </w:r>
      <w:r>
        <w:rPr>
          <w:bCs/>
          <w:lang w:val="en-GB"/>
        </w:rPr>
        <w:instrText xml:space="preserve"> NOTEREF _Ref520139260 \h  \* MERGEFORMAT </w:instrText>
      </w:r>
      <w:r>
        <w:rPr>
          <w:bCs/>
          <w:lang w:val="en-GB"/>
        </w:rPr>
      </w:r>
      <w:r>
        <w:rPr>
          <w:bCs/>
          <w:lang w:val="en-GB"/>
        </w:rPr>
        <w:fldChar w:fldCharType="separate"/>
      </w:r>
      <w:r w:rsidR="00F97B66">
        <w:rPr>
          <w:bCs/>
          <w:lang w:val="en-GB"/>
        </w:rPr>
        <w:t>10</w:t>
      </w:r>
      <w:r>
        <w:rPr>
          <w:bCs/>
          <w:lang w:val="en-GB"/>
        </w:rPr>
        <w:fldChar w:fldCharType="end"/>
      </w:r>
      <w:r>
        <w:rPr>
          <w:bCs/>
          <w:lang w:val="en-GB"/>
        </w:rPr>
        <w:t xml:space="preserve"> above) at</w:t>
      </w:r>
      <w:r w:rsidRPr="003D19A2">
        <w:t xml:space="preserve"> 421 n 188. </w:t>
      </w:r>
    </w:p>
  </w:footnote>
  <w:footnote w:id="132">
    <w:p w:rsidR="00B613DB" w:rsidRPr="00EF4965" w:rsidRDefault="00B613DB" w:rsidP="002F6072">
      <w:pPr>
        <w:pStyle w:val="FootnoteText"/>
      </w:pPr>
      <w:r>
        <w:rPr>
          <w:rStyle w:val="FootnoteReference"/>
        </w:rPr>
        <w:footnoteRef/>
      </w:r>
      <w:r>
        <w:t xml:space="preserve"> </w:t>
      </w:r>
      <w:r w:rsidRPr="003D19A2">
        <w:t>Cf Cor</w:t>
      </w:r>
      <w:r>
        <w:t xml:space="preserve">nell’s interpretation of Kant’s concept of freedom as a moral freedom </w:t>
      </w:r>
      <w:r w:rsidRPr="003D19A2">
        <w:t xml:space="preserve">as discussed in the text at </w:t>
      </w:r>
      <w:r w:rsidRPr="00C375E7">
        <w:t>n</w:t>
      </w:r>
      <w:r>
        <w:t xml:space="preserve"> </w:t>
      </w:r>
      <w:r>
        <w:fldChar w:fldCharType="begin"/>
      </w:r>
      <w:r>
        <w:instrText xml:space="preserve"> NOTEREF _Ref480387249 \h  \* MERGEFORMAT </w:instrText>
      </w:r>
      <w:r>
        <w:fldChar w:fldCharType="separate"/>
      </w:r>
      <w:r w:rsidR="00F97B66">
        <w:t>49</w:t>
      </w:r>
      <w:r>
        <w:fldChar w:fldCharType="end"/>
      </w:r>
      <w:r w:rsidRPr="00C375E7">
        <w:t xml:space="preserve"> </w:t>
      </w:r>
      <w:r w:rsidRPr="00C375E7">
        <w:rPr>
          <w:iCs/>
        </w:rPr>
        <w:t>above</w:t>
      </w:r>
      <w:r w:rsidRPr="00381DCD">
        <w:rPr>
          <w:iCs/>
        </w:rPr>
        <w:t>.</w:t>
      </w:r>
    </w:p>
  </w:footnote>
  <w:footnote w:id="133">
    <w:p w:rsidR="00B613DB" w:rsidRPr="003D19A2" w:rsidRDefault="00B613DB" w:rsidP="002F6072">
      <w:pPr>
        <w:pStyle w:val="FootnoteText"/>
      </w:pPr>
      <w:r w:rsidRPr="003D19A2">
        <w:rPr>
          <w:rStyle w:val="FootnoteReference"/>
        </w:rPr>
        <w:footnoteRef/>
      </w:r>
      <w:r w:rsidRPr="003D19A2">
        <w:t xml:space="preserve"> </w:t>
      </w:r>
      <w:r w:rsidRPr="003D19A2">
        <w:tab/>
        <w:t xml:space="preserve">See also Lubbe </w:t>
      </w:r>
      <w:r>
        <w:t>(note </w:t>
      </w:r>
      <w:r>
        <w:fldChar w:fldCharType="begin"/>
      </w:r>
      <w:r>
        <w:instrText xml:space="preserve"> NOTEREF _Ref520146656 \h  \* MERGEFORMAT </w:instrText>
      </w:r>
      <w:r>
        <w:fldChar w:fldCharType="separate"/>
      </w:r>
      <w:r w:rsidR="00F97B66">
        <w:t>129</w:t>
      </w:r>
      <w:r>
        <w:fldChar w:fldCharType="end"/>
      </w:r>
      <w:r>
        <w:t xml:space="preserve"> above) at</w:t>
      </w:r>
      <w:r w:rsidRPr="003D19A2">
        <w:rPr>
          <w:i/>
          <w:iCs/>
        </w:rPr>
        <w:t xml:space="preserve"> </w:t>
      </w:r>
      <w:r w:rsidRPr="003D19A2">
        <w:t xml:space="preserve">20 who speaks of the need to </w:t>
      </w:r>
      <w:proofErr w:type="spellStart"/>
      <w:r w:rsidRPr="003D19A2">
        <w:t>harmonise</w:t>
      </w:r>
      <w:proofErr w:type="spellEnd"/>
      <w:r w:rsidRPr="003D19A2">
        <w:t xml:space="preserve"> conflicting individual interests. Cf Cornell’s interpretation of Kant’s kingdom of ends which entails the harmonisation of ends as discussed in the text at n</w:t>
      </w:r>
      <w:r>
        <w:t xml:space="preserve"> </w:t>
      </w:r>
      <w:r>
        <w:fldChar w:fldCharType="begin"/>
      </w:r>
      <w:r>
        <w:instrText xml:space="preserve"> NOTEREF _Ref520113377 \h  \* MERGEFORMAT </w:instrText>
      </w:r>
      <w:r>
        <w:fldChar w:fldCharType="separate"/>
      </w:r>
      <w:r w:rsidR="00F97B66">
        <w:t>67</w:t>
      </w:r>
      <w:r>
        <w:fldChar w:fldCharType="end"/>
      </w:r>
      <w:r w:rsidRPr="003D19A2">
        <w:t xml:space="preserve"> </w:t>
      </w:r>
      <w:r w:rsidRPr="00BA014C">
        <w:rPr>
          <w:iCs/>
        </w:rPr>
        <w:t>above</w:t>
      </w:r>
      <w:r w:rsidRPr="003D19A2">
        <w:t xml:space="preserve">. </w:t>
      </w:r>
    </w:p>
  </w:footnote>
  <w:footnote w:id="134">
    <w:p w:rsidR="00F97B66" w:rsidRPr="00721B13" w:rsidRDefault="00F97B66" w:rsidP="00F97B66">
      <w:pPr>
        <w:pStyle w:val="FootnoteText"/>
      </w:pPr>
      <w:r>
        <w:rPr>
          <w:rStyle w:val="FootnoteReference"/>
        </w:rPr>
        <w:footnoteRef/>
      </w:r>
      <w:r>
        <w:t xml:space="preserve"> </w:t>
      </w:r>
      <w:r>
        <w:tab/>
      </w:r>
      <w:r w:rsidRPr="003D19A2">
        <w:rPr>
          <w:lang w:val="en-GB"/>
        </w:rPr>
        <w:t xml:space="preserve">Lubbe </w:t>
      </w:r>
      <w:r>
        <w:t>(note </w:t>
      </w:r>
      <w:r>
        <w:fldChar w:fldCharType="begin"/>
      </w:r>
      <w:r>
        <w:instrText xml:space="preserve"> NOTEREF _Ref520146656 \h  \* MERGEFORMAT </w:instrText>
      </w:r>
      <w:r>
        <w:fldChar w:fldCharType="separate"/>
      </w:r>
      <w:r>
        <w:t>129</w:t>
      </w:r>
      <w:r>
        <w:fldChar w:fldCharType="end"/>
      </w:r>
      <w:r>
        <w:t xml:space="preserve"> above) at</w:t>
      </w:r>
      <w:r w:rsidRPr="003D19A2">
        <w:rPr>
          <w:i/>
          <w:iCs/>
        </w:rPr>
        <w:t xml:space="preserve"> </w:t>
      </w:r>
      <w:r>
        <w:rPr>
          <w:lang w:val="en-GB"/>
        </w:rPr>
        <w:t xml:space="preserve">17-21. </w:t>
      </w:r>
    </w:p>
  </w:footnote>
  <w:footnote w:id="135">
    <w:p w:rsidR="00B613DB" w:rsidRPr="00C375E7" w:rsidRDefault="00B613DB" w:rsidP="002F6072">
      <w:pPr>
        <w:pStyle w:val="FootnoteText"/>
      </w:pPr>
      <w:r>
        <w:rPr>
          <w:rStyle w:val="FootnoteReference"/>
        </w:rPr>
        <w:footnoteRef/>
      </w:r>
      <w:r>
        <w:t xml:space="preserve"> </w:t>
      </w:r>
      <w:r w:rsidRPr="003D19A2">
        <w:t xml:space="preserve">Barnard </w:t>
      </w:r>
      <w:r>
        <w:rPr>
          <w:iCs/>
          <w:lang w:val="en-GB"/>
        </w:rPr>
        <w:t>(note </w:t>
      </w:r>
      <w:r>
        <w:rPr>
          <w:iCs/>
          <w:lang w:val="en-GB"/>
        </w:rPr>
        <w:fldChar w:fldCharType="begin"/>
      </w:r>
      <w:r>
        <w:rPr>
          <w:iCs/>
          <w:lang w:val="en-GB"/>
        </w:rPr>
        <w:instrText xml:space="preserve"> NOTEREF _Ref520141027 \h  \* MERGEFORMAT </w:instrText>
      </w:r>
      <w:r>
        <w:rPr>
          <w:iCs/>
          <w:lang w:val="en-GB"/>
        </w:rPr>
      </w:r>
      <w:r>
        <w:rPr>
          <w:iCs/>
          <w:lang w:val="en-GB"/>
        </w:rPr>
        <w:fldChar w:fldCharType="separate"/>
      </w:r>
      <w:r w:rsidR="00F97B66">
        <w:rPr>
          <w:iCs/>
          <w:lang w:val="en-GB"/>
        </w:rPr>
        <w:t>16</w:t>
      </w:r>
      <w:r>
        <w:rPr>
          <w:iCs/>
          <w:lang w:val="en-GB"/>
        </w:rPr>
        <w:fldChar w:fldCharType="end"/>
      </w:r>
      <w:r>
        <w:rPr>
          <w:iCs/>
          <w:lang w:val="en-GB"/>
        </w:rPr>
        <w:t xml:space="preserve"> above) at</w:t>
      </w:r>
      <w:r w:rsidRPr="003D19A2">
        <w:t xml:space="preserve"> 232</w:t>
      </w:r>
      <w:r>
        <w:t xml:space="preserve">; </w:t>
      </w:r>
      <w:r w:rsidRPr="003D19A2">
        <w:rPr>
          <w:bCs/>
        </w:rPr>
        <w:t xml:space="preserve">Barnard </w:t>
      </w:r>
      <w:r>
        <w:rPr>
          <w:bCs/>
        </w:rPr>
        <w:t>(note </w:t>
      </w:r>
      <w:r>
        <w:rPr>
          <w:bCs/>
        </w:rPr>
        <w:fldChar w:fldCharType="begin"/>
      </w:r>
      <w:r>
        <w:rPr>
          <w:bCs/>
        </w:rPr>
        <w:instrText xml:space="preserve"> NOTEREF _Ref520142921 \h  \* MERGEFORMAT </w:instrText>
      </w:r>
      <w:r>
        <w:rPr>
          <w:bCs/>
        </w:rPr>
      </w:r>
      <w:r>
        <w:rPr>
          <w:bCs/>
        </w:rPr>
        <w:fldChar w:fldCharType="separate"/>
      </w:r>
      <w:r w:rsidR="00F97B66">
        <w:rPr>
          <w:bCs/>
        </w:rPr>
        <w:t>58</w:t>
      </w:r>
      <w:r>
        <w:rPr>
          <w:bCs/>
        </w:rPr>
        <w:fldChar w:fldCharType="end"/>
      </w:r>
      <w:r>
        <w:rPr>
          <w:bCs/>
        </w:rPr>
        <w:t xml:space="preserve"> above) at</w:t>
      </w:r>
      <w:r w:rsidRPr="003D19A2">
        <w:rPr>
          <w:bCs/>
        </w:rPr>
        <w:t xml:space="preserve"> 289</w:t>
      </w:r>
      <w:r>
        <w:rPr>
          <w:bCs/>
        </w:rPr>
        <w:t>.</w:t>
      </w:r>
    </w:p>
  </w:footnote>
  <w:footnote w:id="136">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sidRPr="003D19A2">
        <w:rPr>
          <w:bCs/>
          <w:i/>
          <w:iCs/>
          <w:lang w:val="en-GB"/>
        </w:rPr>
        <w:t xml:space="preserve">Mort NO v Henry Shields-Chiat </w:t>
      </w:r>
      <w:r w:rsidRPr="003D19A2">
        <w:rPr>
          <w:bCs/>
          <w:lang w:val="en-GB"/>
        </w:rPr>
        <w:t>2001 1 SA 464 (C)</w:t>
      </w:r>
      <w:r w:rsidRPr="003D19A2">
        <w:rPr>
          <w:lang w:val="en-GB"/>
        </w:rPr>
        <w:t xml:space="preserve"> 475 </w:t>
      </w:r>
      <w:r>
        <w:rPr>
          <w:lang w:val="en-GB"/>
        </w:rPr>
        <w:t>(‘</w:t>
      </w:r>
      <w:r w:rsidRPr="00BA0084">
        <w:rPr>
          <w:i/>
          <w:lang w:val="en-GB"/>
        </w:rPr>
        <w:t>Mort</w:t>
      </w:r>
      <w:r w:rsidRPr="00BA0084">
        <w:rPr>
          <w:lang w:val="en-GB"/>
        </w:rPr>
        <w:t>’</w:t>
      </w:r>
      <w:r>
        <w:rPr>
          <w:lang w:val="en-GB"/>
        </w:rPr>
        <w:t xml:space="preserve">) </w:t>
      </w:r>
      <w:r w:rsidRPr="00BA0084">
        <w:rPr>
          <w:lang w:val="en-GB"/>
        </w:rPr>
        <w:t>referring</w:t>
      </w:r>
      <w:r w:rsidRPr="003D19A2">
        <w:rPr>
          <w:lang w:val="en-GB"/>
        </w:rPr>
        <w:t xml:space="preserve"> to </w:t>
      </w:r>
      <w:r w:rsidRPr="003D19A2">
        <w:rPr>
          <w:bCs/>
          <w:i/>
          <w:iCs/>
          <w:lang w:val="en-GB"/>
        </w:rPr>
        <w:t xml:space="preserve">Janse van Rensburg v Grieve Trust CC </w:t>
      </w:r>
      <w:r w:rsidRPr="003D19A2">
        <w:rPr>
          <w:bCs/>
          <w:lang w:val="en-GB"/>
        </w:rPr>
        <w:t xml:space="preserve">2000 1 SA 315 (C) </w:t>
      </w:r>
      <w:r w:rsidRPr="003D19A2">
        <w:rPr>
          <w:lang w:val="en-GB"/>
        </w:rPr>
        <w:t>325-326.</w:t>
      </w:r>
      <w:r>
        <w:t xml:space="preserve"> </w:t>
      </w:r>
      <w:r w:rsidRPr="003D19A2">
        <w:rPr>
          <w:lang w:val="en-GB"/>
        </w:rPr>
        <w:t xml:space="preserve">See further the discussions by </w:t>
      </w:r>
      <w:r>
        <w:rPr>
          <w:lang w:val="en-GB"/>
        </w:rPr>
        <w:t>L </w:t>
      </w:r>
      <w:r w:rsidRPr="003D19A2">
        <w:rPr>
          <w:bCs/>
          <w:lang w:val="en-GB"/>
        </w:rPr>
        <w:t>Hawthorne</w:t>
      </w:r>
      <w:r>
        <w:rPr>
          <w:bCs/>
          <w:lang w:val="en-GB"/>
        </w:rPr>
        <w:t xml:space="preserve"> ‘Legal tradition and the transformation of orthodox contract theory: The movement from formalism to realism’</w:t>
      </w:r>
      <w:r w:rsidRPr="003D19A2">
        <w:rPr>
          <w:bCs/>
          <w:lang w:val="en-GB"/>
        </w:rPr>
        <w:t xml:space="preserve"> </w:t>
      </w:r>
      <w:r>
        <w:rPr>
          <w:bCs/>
          <w:lang w:val="en-GB"/>
        </w:rPr>
        <w:t>(</w:t>
      </w:r>
      <w:r w:rsidRPr="003D19A2">
        <w:rPr>
          <w:bCs/>
          <w:lang w:val="en-GB"/>
        </w:rPr>
        <w:t>2006</w:t>
      </w:r>
      <w:r>
        <w:rPr>
          <w:bCs/>
          <w:lang w:val="en-GB"/>
        </w:rPr>
        <w:t>)</w:t>
      </w:r>
      <w:r w:rsidRPr="003D19A2">
        <w:rPr>
          <w:bCs/>
          <w:lang w:val="en-GB"/>
        </w:rPr>
        <w:t xml:space="preserve"> </w:t>
      </w:r>
      <w:r>
        <w:rPr>
          <w:bCs/>
          <w:lang w:val="en-GB"/>
        </w:rPr>
        <w:t xml:space="preserve">12-2 </w:t>
      </w:r>
      <w:r w:rsidRPr="003D19A2">
        <w:rPr>
          <w:bCs/>
          <w:i/>
          <w:iCs/>
          <w:lang w:val="en-GB"/>
        </w:rPr>
        <w:t>Fundamina</w:t>
      </w:r>
      <w:r w:rsidRPr="003D19A2">
        <w:rPr>
          <w:bCs/>
          <w:lang w:val="en-GB"/>
        </w:rPr>
        <w:t xml:space="preserve"> </w:t>
      </w:r>
      <w:r>
        <w:rPr>
          <w:bCs/>
          <w:lang w:val="en-GB"/>
        </w:rPr>
        <w:t xml:space="preserve">71, </w:t>
      </w:r>
      <w:r w:rsidRPr="003D19A2">
        <w:rPr>
          <w:bCs/>
          <w:lang w:val="en-GB"/>
        </w:rPr>
        <w:t xml:space="preserve">78-79; </w:t>
      </w:r>
      <w:r>
        <w:rPr>
          <w:bCs/>
          <w:lang w:val="en-GB"/>
        </w:rPr>
        <w:t xml:space="preserve">L </w:t>
      </w:r>
      <w:r w:rsidRPr="003D19A2">
        <w:rPr>
          <w:bCs/>
          <w:lang w:val="en-GB"/>
        </w:rPr>
        <w:t>Hawthorne</w:t>
      </w:r>
      <w:r>
        <w:rPr>
          <w:bCs/>
          <w:lang w:val="en-GB"/>
        </w:rPr>
        <w:t xml:space="preserve"> ‘The end of bona fides’</w:t>
      </w:r>
      <w:r w:rsidRPr="003D19A2">
        <w:rPr>
          <w:bCs/>
          <w:lang w:val="en-GB"/>
        </w:rPr>
        <w:t xml:space="preserve"> </w:t>
      </w:r>
      <w:r>
        <w:rPr>
          <w:bCs/>
          <w:lang w:val="en-GB"/>
        </w:rPr>
        <w:t>(</w:t>
      </w:r>
      <w:r w:rsidRPr="003D19A2">
        <w:rPr>
          <w:bCs/>
          <w:lang w:val="en-GB"/>
        </w:rPr>
        <w:t>2003</w:t>
      </w:r>
      <w:r>
        <w:rPr>
          <w:bCs/>
          <w:lang w:val="en-GB"/>
        </w:rPr>
        <w:t>) 15</w:t>
      </w:r>
      <w:r w:rsidRPr="003D19A2">
        <w:rPr>
          <w:bCs/>
          <w:lang w:val="en-GB"/>
        </w:rPr>
        <w:t xml:space="preserve"> </w:t>
      </w:r>
      <w:r w:rsidRPr="003D19A2">
        <w:rPr>
          <w:bCs/>
          <w:i/>
          <w:lang w:val="en-GB"/>
        </w:rPr>
        <w:t>S</w:t>
      </w:r>
      <w:r>
        <w:rPr>
          <w:bCs/>
          <w:i/>
          <w:lang w:val="en-GB"/>
        </w:rPr>
        <w:t xml:space="preserve">outh </w:t>
      </w:r>
      <w:r w:rsidRPr="003D19A2">
        <w:rPr>
          <w:bCs/>
          <w:i/>
          <w:lang w:val="en-GB"/>
        </w:rPr>
        <w:t>A</w:t>
      </w:r>
      <w:r>
        <w:rPr>
          <w:bCs/>
          <w:i/>
          <w:lang w:val="en-GB"/>
        </w:rPr>
        <w:t>frican</w:t>
      </w:r>
      <w:r w:rsidRPr="003D19A2">
        <w:rPr>
          <w:bCs/>
          <w:i/>
          <w:lang w:val="en-GB"/>
        </w:rPr>
        <w:t xml:space="preserve"> Merc</w:t>
      </w:r>
      <w:r>
        <w:rPr>
          <w:bCs/>
          <w:i/>
          <w:lang w:val="en-GB"/>
        </w:rPr>
        <w:t>antile</w:t>
      </w:r>
      <w:r w:rsidRPr="003D19A2">
        <w:rPr>
          <w:bCs/>
          <w:i/>
          <w:lang w:val="en-GB"/>
        </w:rPr>
        <w:t xml:space="preserve"> L</w:t>
      </w:r>
      <w:r>
        <w:rPr>
          <w:bCs/>
          <w:i/>
          <w:lang w:val="en-GB"/>
        </w:rPr>
        <w:t xml:space="preserve">aw </w:t>
      </w:r>
      <w:r w:rsidRPr="003D19A2">
        <w:rPr>
          <w:bCs/>
          <w:i/>
          <w:lang w:val="en-GB"/>
        </w:rPr>
        <w:t>J</w:t>
      </w:r>
      <w:r>
        <w:rPr>
          <w:bCs/>
          <w:i/>
          <w:lang w:val="en-GB"/>
        </w:rPr>
        <w:t>ournal</w:t>
      </w:r>
      <w:r>
        <w:rPr>
          <w:bCs/>
          <w:lang w:val="en-GB"/>
        </w:rPr>
        <w:t xml:space="preserve"> 271,</w:t>
      </w:r>
      <w:r w:rsidRPr="003D19A2">
        <w:rPr>
          <w:bCs/>
          <w:iCs/>
          <w:lang w:val="en-GB"/>
        </w:rPr>
        <w:t xml:space="preserve"> 274; </w:t>
      </w:r>
      <w:r>
        <w:rPr>
          <w:bCs/>
          <w:iCs/>
          <w:lang w:val="en-GB"/>
        </w:rPr>
        <w:t xml:space="preserve">P </w:t>
      </w:r>
      <w:r w:rsidRPr="003D19A2">
        <w:rPr>
          <w:bCs/>
          <w:iCs/>
          <w:lang w:val="en-GB"/>
        </w:rPr>
        <w:t>Du</w:t>
      </w:r>
      <w:r w:rsidRPr="003D19A2">
        <w:rPr>
          <w:bCs/>
          <w:lang w:val="en-GB"/>
        </w:rPr>
        <w:t xml:space="preserve"> Plessis </w:t>
      </w:r>
      <w:r>
        <w:rPr>
          <w:bCs/>
          <w:lang w:val="en-GB"/>
        </w:rPr>
        <w:t>‘Good faith and equity in the law of contract in the civilian tradition’ (</w:t>
      </w:r>
      <w:r w:rsidRPr="003D19A2">
        <w:rPr>
          <w:bCs/>
          <w:lang w:val="en-GB"/>
        </w:rPr>
        <w:t>2002</w:t>
      </w:r>
      <w:r>
        <w:rPr>
          <w:bCs/>
          <w:lang w:val="en-GB"/>
        </w:rPr>
        <w:t>) 65</w:t>
      </w:r>
      <w:r w:rsidRPr="003D19A2">
        <w:rPr>
          <w:bCs/>
          <w:lang w:val="en-GB"/>
        </w:rPr>
        <w:t xml:space="preserve"> </w:t>
      </w:r>
      <w:r w:rsidRPr="00E62CE9">
        <w:rPr>
          <w:bCs/>
          <w:i/>
          <w:lang w:val="en-GB"/>
        </w:rPr>
        <w:t>Tydskrif vir die Hedendaagse Romeins-Hollandse Reg</w:t>
      </w:r>
      <w:r>
        <w:rPr>
          <w:bCs/>
          <w:lang w:val="en-GB"/>
        </w:rPr>
        <w:t xml:space="preserve"> 397,</w:t>
      </w:r>
      <w:r w:rsidRPr="003D19A2">
        <w:rPr>
          <w:bCs/>
          <w:i/>
          <w:iCs/>
          <w:lang w:val="en-GB"/>
        </w:rPr>
        <w:t xml:space="preserve"> </w:t>
      </w:r>
      <w:r w:rsidRPr="003D19A2">
        <w:rPr>
          <w:bCs/>
          <w:lang w:val="en-GB"/>
        </w:rPr>
        <w:t xml:space="preserve">411; </w:t>
      </w:r>
      <w:r>
        <w:rPr>
          <w:bCs/>
          <w:lang w:val="en-GB"/>
        </w:rPr>
        <w:t xml:space="preserve">P </w:t>
      </w:r>
      <w:r w:rsidRPr="003D19A2">
        <w:rPr>
          <w:bCs/>
          <w:lang w:val="en-GB"/>
        </w:rPr>
        <w:t>Du Plessis</w:t>
      </w:r>
      <w:r>
        <w:rPr>
          <w:bCs/>
          <w:lang w:val="en-GB"/>
        </w:rPr>
        <w:t xml:space="preserve"> ‘</w:t>
      </w:r>
      <w:r>
        <w:rPr>
          <w:bCs/>
          <w:i/>
          <w:lang w:val="en-GB"/>
        </w:rPr>
        <w:t>Mort NO v Henry Shields-Chiat</w:t>
      </w:r>
      <w:r>
        <w:rPr>
          <w:bCs/>
          <w:lang w:val="en-GB"/>
        </w:rPr>
        <w:t xml:space="preserve"> 2001 1 SA 464 (C)’</w:t>
      </w:r>
      <w:r w:rsidRPr="003D19A2">
        <w:rPr>
          <w:bCs/>
          <w:lang w:val="en-GB"/>
        </w:rPr>
        <w:t xml:space="preserve"> </w:t>
      </w:r>
      <w:r>
        <w:rPr>
          <w:bCs/>
          <w:lang w:val="en-GB"/>
        </w:rPr>
        <w:t>(</w:t>
      </w:r>
      <w:r w:rsidRPr="003D19A2">
        <w:rPr>
          <w:bCs/>
          <w:lang w:val="en-GB"/>
        </w:rPr>
        <w:t>2002</w:t>
      </w:r>
      <w:r>
        <w:rPr>
          <w:bCs/>
          <w:lang w:val="en-GB"/>
        </w:rPr>
        <w:t>) 35</w:t>
      </w:r>
      <w:r w:rsidRPr="003D19A2">
        <w:rPr>
          <w:bCs/>
          <w:lang w:val="en-GB"/>
        </w:rPr>
        <w:t xml:space="preserve"> </w:t>
      </w:r>
      <w:r w:rsidRPr="003D19A2">
        <w:rPr>
          <w:bCs/>
          <w:i/>
          <w:iCs/>
          <w:lang w:val="en-GB"/>
        </w:rPr>
        <w:t xml:space="preserve">De Jure </w:t>
      </w:r>
      <w:r>
        <w:rPr>
          <w:bCs/>
          <w:iCs/>
          <w:lang w:val="en-GB"/>
        </w:rPr>
        <w:t xml:space="preserve">385, </w:t>
      </w:r>
      <w:r w:rsidRPr="003D19A2">
        <w:rPr>
          <w:bCs/>
          <w:lang w:val="en-GB"/>
        </w:rPr>
        <w:t>385-390.</w:t>
      </w:r>
    </w:p>
  </w:footnote>
  <w:footnote w:id="137">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sidRPr="003D19A2">
        <w:rPr>
          <w:bCs/>
          <w:i/>
          <w:iCs/>
          <w:lang w:val="en-GB"/>
        </w:rPr>
        <w:t xml:space="preserve">Mort </w:t>
      </w:r>
      <w:r w:rsidRPr="00BA0084">
        <w:rPr>
          <w:bCs/>
          <w:iCs/>
          <w:lang w:val="en-GB"/>
        </w:rPr>
        <w:t xml:space="preserve">(note </w:t>
      </w:r>
      <w:r w:rsidRPr="00BA0084">
        <w:rPr>
          <w:bCs/>
          <w:iCs/>
          <w:lang w:val="en-GB"/>
        </w:rPr>
        <w:fldChar w:fldCharType="begin"/>
      </w:r>
      <w:r w:rsidRPr="00BA0084">
        <w:rPr>
          <w:bCs/>
          <w:iCs/>
          <w:lang w:val="en-GB"/>
        </w:rPr>
        <w:instrText xml:space="preserve"> NOTEREF _Ref454132876 \h </w:instrText>
      </w:r>
      <w:r>
        <w:rPr>
          <w:bCs/>
          <w:iCs/>
          <w:lang w:val="en-GB"/>
        </w:rPr>
        <w:instrText xml:space="preserve"> \* MERGEFORMAT </w:instrText>
      </w:r>
      <w:r w:rsidRPr="00BA0084">
        <w:rPr>
          <w:bCs/>
          <w:iCs/>
          <w:lang w:val="en-GB"/>
        </w:rPr>
      </w:r>
      <w:r w:rsidRPr="00BA0084">
        <w:rPr>
          <w:bCs/>
          <w:iCs/>
          <w:lang w:val="en-GB"/>
        </w:rPr>
        <w:fldChar w:fldCharType="separate"/>
      </w:r>
      <w:r w:rsidR="00F97B66">
        <w:rPr>
          <w:bCs/>
          <w:iCs/>
          <w:lang w:val="en-GB"/>
        </w:rPr>
        <w:t>138</w:t>
      </w:r>
      <w:r w:rsidRPr="00BA0084">
        <w:rPr>
          <w:bCs/>
          <w:iCs/>
          <w:lang w:val="en-GB"/>
        </w:rPr>
        <w:fldChar w:fldCharType="end"/>
      </w:r>
      <w:r w:rsidRPr="00BA0084">
        <w:rPr>
          <w:bCs/>
          <w:iCs/>
          <w:lang w:val="en-GB"/>
        </w:rPr>
        <w:t xml:space="preserve"> above) at</w:t>
      </w:r>
      <w:r w:rsidRPr="003D19A2">
        <w:rPr>
          <w:lang w:val="en-GB"/>
        </w:rPr>
        <w:t xml:space="preserve"> 474-475.</w:t>
      </w:r>
    </w:p>
  </w:footnote>
  <w:footnote w:id="138">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Pr>
          <w:bCs/>
          <w:iCs/>
          <w:lang w:val="en-GB"/>
        </w:rPr>
        <w:t xml:space="preserve">Ibid at </w:t>
      </w:r>
      <w:r w:rsidRPr="003D19A2">
        <w:rPr>
          <w:lang w:val="en-GB"/>
        </w:rPr>
        <w:t xml:space="preserve">475. </w:t>
      </w:r>
    </w:p>
  </w:footnote>
  <w:footnote w:id="139">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sidRPr="003D19A2">
        <w:rPr>
          <w:i/>
          <w:iCs/>
          <w:lang w:val="en-GB"/>
        </w:rPr>
        <w:t>Coetzee v Comitis and others</w:t>
      </w:r>
      <w:r w:rsidRPr="003D19A2">
        <w:rPr>
          <w:lang w:val="en-GB"/>
        </w:rPr>
        <w:t xml:space="preserve"> 2001 1 SA 1254 (C) paras 34 &amp; 41</w:t>
      </w:r>
      <w:r>
        <w:rPr>
          <w:lang w:val="en-GB"/>
        </w:rPr>
        <w:t xml:space="preserve"> (‘</w:t>
      </w:r>
      <w:r>
        <w:rPr>
          <w:i/>
          <w:lang w:val="en-GB"/>
        </w:rPr>
        <w:t>Coetzee</w:t>
      </w:r>
      <w:r w:rsidRPr="00E62CE9">
        <w:rPr>
          <w:lang w:val="en-GB"/>
        </w:rPr>
        <w:t>’</w:t>
      </w:r>
      <w:r>
        <w:rPr>
          <w:lang w:val="en-GB"/>
        </w:rPr>
        <w:t>)</w:t>
      </w:r>
      <w:r w:rsidRPr="003D19A2">
        <w:rPr>
          <w:lang w:val="en-GB"/>
        </w:rPr>
        <w:t xml:space="preserve">. See also Lubbe </w:t>
      </w:r>
      <w:r>
        <w:rPr>
          <w:bCs/>
          <w:lang w:val="en-GB"/>
        </w:rPr>
        <w:t>(note </w:t>
      </w:r>
      <w:r>
        <w:rPr>
          <w:bCs/>
          <w:lang w:val="en-GB"/>
        </w:rPr>
        <w:fldChar w:fldCharType="begin"/>
      </w:r>
      <w:r>
        <w:rPr>
          <w:bCs/>
          <w:lang w:val="en-GB"/>
        </w:rPr>
        <w:instrText xml:space="preserve"> NOTEREF _Ref520139260 \h  \* MERGEFORMAT </w:instrText>
      </w:r>
      <w:r>
        <w:rPr>
          <w:bCs/>
          <w:lang w:val="en-GB"/>
        </w:rPr>
      </w:r>
      <w:r>
        <w:rPr>
          <w:bCs/>
          <w:lang w:val="en-GB"/>
        </w:rPr>
        <w:fldChar w:fldCharType="separate"/>
      </w:r>
      <w:r w:rsidR="00F97B66">
        <w:rPr>
          <w:bCs/>
          <w:lang w:val="en-GB"/>
        </w:rPr>
        <w:t>10</w:t>
      </w:r>
      <w:r>
        <w:rPr>
          <w:bCs/>
          <w:lang w:val="en-GB"/>
        </w:rPr>
        <w:fldChar w:fldCharType="end"/>
      </w:r>
      <w:r>
        <w:rPr>
          <w:bCs/>
          <w:lang w:val="en-GB"/>
        </w:rPr>
        <w:t xml:space="preserve"> above) at</w:t>
      </w:r>
      <w:r w:rsidRPr="003D19A2">
        <w:rPr>
          <w:lang w:val="en-GB"/>
        </w:rPr>
        <w:t xml:space="preserve"> 422.</w:t>
      </w:r>
    </w:p>
  </w:footnote>
  <w:footnote w:id="140">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sidRPr="003D19A2">
        <w:rPr>
          <w:i/>
          <w:iCs/>
          <w:lang w:val="en-GB"/>
        </w:rPr>
        <w:t xml:space="preserve">Coetzee </w:t>
      </w:r>
      <w:r>
        <w:rPr>
          <w:iCs/>
          <w:lang w:val="en-GB"/>
        </w:rPr>
        <w:t>(note </w:t>
      </w:r>
      <w:r>
        <w:rPr>
          <w:iCs/>
          <w:lang w:val="en-GB"/>
        </w:rPr>
        <w:fldChar w:fldCharType="begin"/>
      </w:r>
      <w:r>
        <w:rPr>
          <w:iCs/>
          <w:lang w:val="en-GB"/>
        </w:rPr>
        <w:instrText xml:space="preserve"> NOTEREF _Ref520147288 \h  \* MERGEFORMAT </w:instrText>
      </w:r>
      <w:r>
        <w:rPr>
          <w:iCs/>
          <w:lang w:val="en-GB"/>
        </w:rPr>
      </w:r>
      <w:r>
        <w:rPr>
          <w:iCs/>
          <w:lang w:val="en-GB"/>
        </w:rPr>
        <w:fldChar w:fldCharType="separate"/>
      </w:r>
      <w:r w:rsidR="00F97B66">
        <w:rPr>
          <w:iCs/>
          <w:lang w:val="en-GB"/>
        </w:rPr>
        <w:t>141</w:t>
      </w:r>
      <w:r>
        <w:rPr>
          <w:iCs/>
          <w:lang w:val="en-GB"/>
        </w:rPr>
        <w:fldChar w:fldCharType="end"/>
      </w:r>
      <w:r>
        <w:rPr>
          <w:iCs/>
          <w:lang w:val="en-GB"/>
        </w:rPr>
        <w:t xml:space="preserve"> above) at</w:t>
      </w:r>
      <w:r w:rsidRPr="003D19A2">
        <w:rPr>
          <w:lang w:val="en-GB"/>
        </w:rPr>
        <w:t xml:space="preserve"> para 34.</w:t>
      </w:r>
    </w:p>
  </w:footnote>
  <w:footnote w:id="141">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t xml:space="preserve">Woolman </w:t>
      </w:r>
      <w:r>
        <w:t xml:space="preserve">(note </w:t>
      </w:r>
      <w:r>
        <w:fldChar w:fldCharType="begin"/>
      </w:r>
      <w:r>
        <w:instrText xml:space="preserve"> NOTEREF _Ref520143309 \h  \* MERGEFORMAT </w:instrText>
      </w:r>
      <w:r>
        <w:fldChar w:fldCharType="separate"/>
      </w:r>
      <w:r w:rsidR="00F97B66">
        <w:t>66</w:t>
      </w:r>
      <w:r>
        <w:fldChar w:fldCharType="end"/>
      </w:r>
      <w:r>
        <w:t xml:space="preserve"> above) at</w:t>
      </w:r>
      <w:r w:rsidRPr="003D19A2">
        <w:t xml:space="preserve"> </w:t>
      </w:r>
      <w:r w:rsidRPr="003D19A2">
        <w:rPr>
          <w:lang w:val="en-GB"/>
        </w:rPr>
        <w:t>para 36.4(</w:t>
      </w:r>
      <w:r w:rsidRPr="003D19A2">
        <w:rPr>
          <w:i/>
          <w:iCs/>
          <w:lang w:val="en-GB"/>
        </w:rPr>
        <w:t>f</w:t>
      </w:r>
      <w:r w:rsidRPr="003D19A2">
        <w:rPr>
          <w:lang w:val="en-GB"/>
        </w:rPr>
        <w:t xml:space="preserve">). See also Lubbe </w:t>
      </w:r>
      <w:r>
        <w:rPr>
          <w:bCs/>
          <w:lang w:val="en-GB"/>
        </w:rPr>
        <w:t>(note </w:t>
      </w:r>
      <w:r>
        <w:rPr>
          <w:bCs/>
          <w:lang w:val="en-GB"/>
        </w:rPr>
        <w:fldChar w:fldCharType="begin"/>
      </w:r>
      <w:r>
        <w:rPr>
          <w:bCs/>
          <w:lang w:val="en-GB"/>
        </w:rPr>
        <w:instrText xml:space="preserve"> NOTEREF _Ref520139260 \h  \* MERGEFORMAT </w:instrText>
      </w:r>
      <w:r>
        <w:rPr>
          <w:bCs/>
          <w:lang w:val="en-GB"/>
        </w:rPr>
      </w:r>
      <w:r>
        <w:rPr>
          <w:bCs/>
          <w:lang w:val="en-GB"/>
        </w:rPr>
        <w:fldChar w:fldCharType="separate"/>
      </w:r>
      <w:r w:rsidR="00F97B66">
        <w:rPr>
          <w:bCs/>
          <w:lang w:val="en-GB"/>
        </w:rPr>
        <w:t>10</w:t>
      </w:r>
      <w:r>
        <w:rPr>
          <w:bCs/>
          <w:lang w:val="en-GB"/>
        </w:rPr>
        <w:fldChar w:fldCharType="end"/>
      </w:r>
      <w:r>
        <w:rPr>
          <w:bCs/>
          <w:lang w:val="en-GB"/>
        </w:rPr>
        <w:t xml:space="preserve"> above) at</w:t>
      </w:r>
      <w:r w:rsidRPr="003D19A2">
        <w:rPr>
          <w:lang w:val="en-GB"/>
        </w:rPr>
        <w:t xml:space="preserve"> 422.</w:t>
      </w:r>
    </w:p>
  </w:footnote>
  <w:footnote w:id="142">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sidRPr="003D19A2">
        <w:rPr>
          <w:i/>
          <w:iCs/>
          <w:lang w:val="en-GB"/>
        </w:rPr>
        <w:t xml:space="preserve">Coetzee </w:t>
      </w:r>
      <w:r>
        <w:rPr>
          <w:iCs/>
          <w:lang w:val="en-GB"/>
        </w:rPr>
        <w:t>(note </w:t>
      </w:r>
      <w:r>
        <w:rPr>
          <w:iCs/>
          <w:lang w:val="en-GB"/>
        </w:rPr>
        <w:fldChar w:fldCharType="begin"/>
      </w:r>
      <w:r>
        <w:rPr>
          <w:iCs/>
          <w:lang w:val="en-GB"/>
        </w:rPr>
        <w:instrText xml:space="preserve"> NOTEREF _Ref520147288 \h  \* MERGEFORMAT </w:instrText>
      </w:r>
      <w:r>
        <w:rPr>
          <w:iCs/>
          <w:lang w:val="en-GB"/>
        </w:rPr>
      </w:r>
      <w:r>
        <w:rPr>
          <w:iCs/>
          <w:lang w:val="en-GB"/>
        </w:rPr>
        <w:fldChar w:fldCharType="separate"/>
      </w:r>
      <w:r w:rsidR="00F97B66">
        <w:rPr>
          <w:iCs/>
          <w:lang w:val="en-GB"/>
        </w:rPr>
        <w:t>141</w:t>
      </w:r>
      <w:r>
        <w:rPr>
          <w:iCs/>
          <w:lang w:val="en-GB"/>
        </w:rPr>
        <w:fldChar w:fldCharType="end"/>
      </w:r>
      <w:r>
        <w:rPr>
          <w:iCs/>
          <w:lang w:val="en-GB"/>
        </w:rPr>
        <w:t xml:space="preserve"> above) at</w:t>
      </w:r>
      <w:r w:rsidRPr="003D19A2">
        <w:rPr>
          <w:lang w:val="en-GB"/>
        </w:rPr>
        <w:t xml:space="preserve"> para 38.</w:t>
      </w:r>
    </w:p>
  </w:footnote>
  <w:footnote w:id="143">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t>Cf the discussion in the text at n</w:t>
      </w:r>
      <w:r>
        <w:rPr>
          <w:lang w:val="en-GB"/>
        </w:rPr>
        <w:t xml:space="preserve"> </w:t>
      </w:r>
      <w:r>
        <w:rPr>
          <w:lang w:val="en-GB"/>
        </w:rPr>
        <w:fldChar w:fldCharType="begin"/>
      </w:r>
      <w:r>
        <w:rPr>
          <w:lang w:val="en-GB"/>
        </w:rPr>
        <w:instrText xml:space="preserve"> NOTEREF _Ref480215548 \h  \* MERGEFORMAT </w:instrText>
      </w:r>
      <w:r>
        <w:rPr>
          <w:lang w:val="en-GB"/>
        </w:rPr>
      </w:r>
      <w:r>
        <w:rPr>
          <w:lang w:val="en-GB"/>
        </w:rPr>
        <w:fldChar w:fldCharType="separate"/>
      </w:r>
      <w:r w:rsidR="00F97B66">
        <w:rPr>
          <w:lang w:val="en-GB"/>
        </w:rPr>
        <w:t>62</w:t>
      </w:r>
      <w:r>
        <w:rPr>
          <w:lang w:val="en-GB"/>
        </w:rPr>
        <w:fldChar w:fldCharType="end"/>
      </w:r>
      <w:r w:rsidRPr="003D19A2">
        <w:rPr>
          <w:lang w:val="en-GB"/>
        </w:rPr>
        <w:t xml:space="preserve"> </w:t>
      </w:r>
      <w:r>
        <w:rPr>
          <w:iCs/>
          <w:lang w:val="en-GB"/>
        </w:rPr>
        <w:t>above</w:t>
      </w:r>
      <w:r w:rsidRPr="003D19A2">
        <w:rPr>
          <w:lang w:val="en-GB"/>
        </w:rPr>
        <w:t>.</w:t>
      </w:r>
      <w:r>
        <w:rPr>
          <w:lang w:val="en-GB"/>
        </w:rPr>
        <w:t xml:space="preserve"> </w:t>
      </w:r>
    </w:p>
  </w:footnote>
  <w:footnote w:id="144">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Pr>
          <w:lang w:val="en-GB"/>
        </w:rPr>
        <w:t xml:space="preserve">Cf </w:t>
      </w:r>
      <w:r w:rsidRPr="003D19A2">
        <w:rPr>
          <w:lang w:val="en-GB"/>
        </w:rPr>
        <w:t xml:space="preserve">the discussion of </w:t>
      </w:r>
      <w:r>
        <w:rPr>
          <w:bCs/>
          <w:i/>
          <w:iCs/>
          <w:lang w:val="en-GB"/>
        </w:rPr>
        <w:t xml:space="preserve">Pillay </w:t>
      </w:r>
      <w:r>
        <w:rPr>
          <w:bCs/>
          <w:iCs/>
          <w:lang w:val="en-GB"/>
        </w:rPr>
        <w:t>(note </w:t>
      </w:r>
      <w:r>
        <w:rPr>
          <w:bCs/>
          <w:iCs/>
          <w:lang w:val="en-GB"/>
        </w:rPr>
        <w:fldChar w:fldCharType="begin"/>
      </w:r>
      <w:r>
        <w:rPr>
          <w:bCs/>
          <w:iCs/>
          <w:lang w:val="en-GB"/>
        </w:rPr>
        <w:instrText xml:space="preserve"> NOTEREF _Ref480364663 \h  \* MERGEFORMAT </w:instrText>
      </w:r>
      <w:r>
        <w:rPr>
          <w:bCs/>
          <w:iCs/>
          <w:lang w:val="en-GB"/>
        </w:rPr>
      </w:r>
      <w:r>
        <w:rPr>
          <w:bCs/>
          <w:iCs/>
          <w:lang w:val="en-GB"/>
        </w:rPr>
        <w:fldChar w:fldCharType="separate"/>
      </w:r>
      <w:r w:rsidR="00F97B66">
        <w:rPr>
          <w:bCs/>
          <w:iCs/>
          <w:lang w:val="en-GB"/>
        </w:rPr>
        <w:t>82</w:t>
      </w:r>
      <w:r>
        <w:rPr>
          <w:bCs/>
          <w:iCs/>
          <w:lang w:val="en-GB"/>
        </w:rPr>
        <w:fldChar w:fldCharType="end"/>
      </w:r>
      <w:r>
        <w:rPr>
          <w:bCs/>
          <w:iCs/>
          <w:lang w:val="en-GB"/>
        </w:rPr>
        <w:t xml:space="preserve"> above) </w:t>
      </w:r>
      <w:r>
        <w:rPr>
          <w:bCs/>
          <w:lang w:val="en-GB"/>
        </w:rPr>
        <w:t>in the text at n </w:t>
      </w:r>
      <w:r>
        <w:rPr>
          <w:bCs/>
          <w:lang w:val="en-GB"/>
        </w:rPr>
        <w:fldChar w:fldCharType="begin"/>
      </w:r>
      <w:r>
        <w:rPr>
          <w:bCs/>
          <w:lang w:val="en-GB"/>
        </w:rPr>
        <w:instrText xml:space="preserve"> NOTEREF _Ref480364663 \h  \* MERGEFORMAT </w:instrText>
      </w:r>
      <w:r>
        <w:rPr>
          <w:bCs/>
          <w:lang w:val="en-GB"/>
        </w:rPr>
      </w:r>
      <w:r>
        <w:rPr>
          <w:bCs/>
          <w:lang w:val="en-GB"/>
        </w:rPr>
        <w:fldChar w:fldCharType="separate"/>
      </w:r>
      <w:r w:rsidR="00F97B66">
        <w:rPr>
          <w:bCs/>
          <w:lang w:val="en-GB"/>
        </w:rPr>
        <w:t>82</w:t>
      </w:r>
      <w:r>
        <w:rPr>
          <w:bCs/>
          <w:lang w:val="en-GB"/>
        </w:rPr>
        <w:fldChar w:fldCharType="end"/>
      </w:r>
      <w:r>
        <w:rPr>
          <w:bCs/>
          <w:lang w:val="en-GB"/>
        </w:rPr>
        <w:t xml:space="preserve"> above.</w:t>
      </w:r>
    </w:p>
  </w:footnote>
  <w:footnote w:id="145">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sidRPr="003D19A2">
        <w:rPr>
          <w:bCs/>
          <w:i/>
          <w:iCs/>
          <w:lang w:val="en-GB"/>
        </w:rPr>
        <w:t xml:space="preserve">Brisley v Drotsky </w:t>
      </w:r>
      <w:r w:rsidRPr="00E62CE9">
        <w:t>[2002] ZASCA 35</w:t>
      </w:r>
      <w:r>
        <w:t xml:space="preserve">; </w:t>
      </w:r>
      <w:r w:rsidRPr="003D19A2">
        <w:rPr>
          <w:bCs/>
          <w:lang w:val="en-GB"/>
        </w:rPr>
        <w:t>2002 4 SA 1 (SCA)</w:t>
      </w:r>
      <w:r w:rsidRPr="003D19A2">
        <w:rPr>
          <w:lang w:val="en-GB"/>
        </w:rPr>
        <w:t xml:space="preserve"> para 31</w:t>
      </w:r>
      <w:r>
        <w:rPr>
          <w:lang w:val="en-GB"/>
        </w:rPr>
        <w:t xml:space="preserve"> (‘</w:t>
      </w:r>
      <w:r>
        <w:rPr>
          <w:i/>
          <w:lang w:val="en-GB"/>
        </w:rPr>
        <w:t>Brisley</w:t>
      </w:r>
      <w:r>
        <w:rPr>
          <w:lang w:val="en-GB"/>
        </w:rPr>
        <w:t>’)</w:t>
      </w:r>
      <w:r w:rsidRPr="003D19A2">
        <w:rPr>
          <w:lang w:val="en-GB"/>
        </w:rPr>
        <w:t xml:space="preserve"> quoting </w:t>
      </w:r>
      <w:r w:rsidR="00F97B66" w:rsidRPr="003D19A2">
        <w:rPr>
          <w:bCs/>
          <w:i/>
          <w:iCs/>
          <w:lang w:val="en-GB"/>
        </w:rPr>
        <w:t xml:space="preserve">Sasfin </w:t>
      </w:r>
      <w:r w:rsidR="00F97B66">
        <w:rPr>
          <w:bCs/>
          <w:iCs/>
          <w:lang w:val="en-GB"/>
        </w:rPr>
        <w:t xml:space="preserve">(note </w:t>
      </w:r>
      <w:r w:rsidR="00F97B66">
        <w:rPr>
          <w:bCs/>
          <w:iCs/>
          <w:lang w:val="en-GB"/>
        </w:rPr>
        <w:fldChar w:fldCharType="begin"/>
      </w:r>
      <w:r w:rsidR="00F97B66">
        <w:rPr>
          <w:bCs/>
          <w:iCs/>
          <w:lang w:val="en-GB"/>
        </w:rPr>
        <w:instrText xml:space="preserve"> NOTEREF _Ref520149581 \h </w:instrText>
      </w:r>
      <w:r w:rsidR="00F97B66">
        <w:rPr>
          <w:bCs/>
          <w:iCs/>
          <w:lang w:val="en-GB"/>
        </w:rPr>
      </w:r>
      <w:r w:rsidR="00F97B66">
        <w:rPr>
          <w:bCs/>
          <w:iCs/>
          <w:lang w:val="en-GB"/>
        </w:rPr>
        <w:fldChar w:fldCharType="separate"/>
      </w:r>
      <w:r w:rsidR="00F97B66">
        <w:rPr>
          <w:bCs/>
          <w:iCs/>
          <w:lang w:val="en-GB"/>
        </w:rPr>
        <w:t>119</w:t>
      </w:r>
      <w:r w:rsidR="00F97B66">
        <w:rPr>
          <w:bCs/>
          <w:iCs/>
          <w:lang w:val="en-GB"/>
        </w:rPr>
        <w:fldChar w:fldCharType="end"/>
      </w:r>
      <w:r w:rsidR="00F97B66">
        <w:rPr>
          <w:bCs/>
          <w:iCs/>
          <w:lang w:val="en-GB"/>
        </w:rPr>
        <w:t xml:space="preserve"> above)</w:t>
      </w:r>
      <w:r>
        <w:rPr>
          <w:bCs/>
          <w:iCs/>
          <w:lang w:val="en-GB"/>
        </w:rPr>
        <w:t xml:space="preserve"> at</w:t>
      </w:r>
      <w:r w:rsidR="000B01EA">
        <w:rPr>
          <w:lang w:val="en-GB"/>
        </w:rPr>
        <w:t xml:space="preserve"> 9 (C</w:t>
      </w:r>
      <w:r w:rsidRPr="003D19A2">
        <w:rPr>
          <w:lang w:val="en-GB"/>
        </w:rPr>
        <w:t>f the discussion in the text at n </w:t>
      </w:r>
      <w:r w:rsidRPr="003D19A2">
        <w:rPr>
          <w:lang w:val="en-GB"/>
        </w:rPr>
        <w:fldChar w:fldCharType="begin"/>
      </w:r>
      <w:r w:rsidRPr="003D19A2">
        <w:rPr>
          <w:lang w:val="en-GB"/>
        </w:rPr>
        <w:instrText xml:space="preserve"> NOTEREF _Ref446318096 \h  \* MERGEFORMAT </w:instrText>
      </w:r>
      <w:r w:rsidRPr="003D19A2">
        <w:rPr>
          <w:lang w:val="en-GB"/>
        </w:rPr>
      </w:r>
      <w:r w:rsidRPr="003D19A2">
        <w:rPr>
          <w:lang w:val="en-GB"/>
        </w:rPr>
        <w:fldChar w:fldCharType="separate"/>
      </w:r>
      <w:r w:rsidR="00F97B66">
        <w:rPr>
          <w:lang w:val="en-GB"/>
        </w:rPr>
        <w:t>120</w:t>
      </w:r>
      <w:r w:rsidRPr="003D19A2">
        <w:rPr>
          <w:lang w:val="en-GB"/>
        </w:rPr>
        <w:fldChar w:fldCharType="end"/>
      </w:r>
      <w:r w:rsidRPr="003D19A2">
        <w:rPr>
          <w:lang w:val="en-GB"/>
        </w:rPr>
        <w:t xml:space="preserve"> </w:t>
      </w:r>
      <w:r w:rsidRPr="00BA014C">
        <w:rPr>
          <w:iCs/>
          <w:lang w:val="en-GB"/>
        </w:rPr>
        <w:t>above</w:t>
      </w:r>
      <w:r w:rsidRPr="003D19A2">
        <w:rPr>
          <w:lang w:val="en-GB"/>
        </w:rPr>
        <w:t>).</w:t>
      </w:r>
    </w:p>
  </w:footnote>
  <w:footnote w:id="146">
    <w:p w:rsidR="00B613DB" w:rsidRPr="003D19A2" w:rsidRDefault="00B613DB" w:rsidP="002F6072">
      <w:pPr>
        <w:pStyle w:val="FootnoteText"/>
      </w:pPr>
      <w:r w:rsidRPr="003D19A2">
        <w:rPr>
          <w:rStyle w:val="FootnoteReference"/>
          <w:lang w:val="en-GB"/>
        </w:rPr>
        <w:footnoteRef/>
      </w:r>
      <w:r w:rsidRPr="003D19A2">
        <w:t xml:space="preserve"> </w:t>
      </w:r>
      <w:r w:rsidRPr="003D19A2">
        <w:tab/>
      </w:r>
      <w:r w:rsidRPr="003D19A2">
        <w:rPr>
          <w:bCs/>
          <w:i/>
          <w:iCs/>
        </w:rPr>
        <w:t xml:space="preserve">Brisley </w:t>
      </w:r>
      <w:r>
        <w:rPr>
          <w:bCs/>
          <w:iCs/>
        </w:rPr>
        <w:t>(note </w:t>
      </w:r>
      <w:r>
        <w:rPr>
          <w:bCs/>
          <w:iCs/>
        </w:rPr>
        <w:fldChar w:fldCharType="begin"/>
      </w:r>
      <w:r>
        <w:rPr>
          <w:bCs/>
          <w:iCs/>
        </w:rPr>
        <w:instrText xml:space="preserve"> NOTEREF _Ref520147396 \h  \* MERGEFORMAT </w:instrText>
      </w:r>
      <w:r>
        <w:rPr>
          <w:bCs/>
          <w:iCs/>
        </w:rPr>
      </w:r>
      <w:r>
        <w:rPr>
          <w:bCs/>
          <w:iCs/>
        </w:rPr>
        <w:fldChar w:fldCharType="separate"/>
      </w:r>
      <w:r w:rsidR="00F97B66">
        <w:rPr>
          <w:bCs/>
          <w:iCs/>
        </w:rPr>
        <w:t>147</w:t>
      </w:r>
      <w:r>
        <w:rPr>
          <w:bCs/>
          <w:iCs/>
        </w:rPr>
        <w:fldChar w:fldCharType="end"/>
      </w:r>
      <w:r>
        <w:rPr>
          <w:bCs/>
          <w:iCs/>
        </w:rPr>
        <w:t xml:space="preserve"> above) at</w:t>
      </w:r>
      <w:r w:rsidRPr="003D19A2">
        <w:t xml:space="preserve"> para 22. The court (at para</w:t>
      </w:r>
      <w:r>
        <w:t xml:space="preserve"> 21</w:t>
      </w:r>
      <w:r w:rsidRPr="003D19A2">
        <w:t>) expressly rejected the views of the court</w:t>
      </w:r>
      <w:r>
        <w:t xml:space="preserve"> </w:t>
      </w:r>
      <w:r w:rsidRPr="003D19A2">
        <w:t xml:space="preserve">in </w:t>
      </w:r>
      <w:r w:rsidRPr="003D19A2">
        <w:rPr>
          <w:bCs/>
          <w:i/>
          <w:iCs/>
          <w:lang w:val="en-GB"/>
        </w:rPr>
        <w:t xml:space="preserve">Mort </w:t>
      </w:r>
      <w:r w:rsidRPr="00BA0084">
        <w:rPr>
          <w:bCs/>
          <w:iCs/>
          <w:lang w:val="en-GB"/>
        </w:rPr>
        <w:t xml:space="preserve">(note </w:t>
      </w:r>
      <w:r w:rsidRPr="00BA0084">
        <w:rPr>
          <w:bCs/>
          <w:iCs/>
          <w:lang w:val="en-GB"/>
        </w:rPr>
        <w:fldChar w:fldCharType="begin"/>
      </w:r>
      <w:r w:rsidRPr="00BA0084">
        <w:rPr>
          <w:bCs/>
          <w:iCs/>
          <w:lang w:val="en-GB"/>
        </w:rPr>
        <w:instrText xml:space="preserve"> NOTEREF _Ref454132876 \h </w:instrText>
      </w:r>
      <w:r>
        <w:rPr>
          <w:bCs/>
          <w:iCs/>
          <w:lang w:val="en-GB"/>
        </w:rPr>
        <w:instrText xml:space="preserve"> \* MERGEFORMAT </w:instrText>
      </w:r>
      <w:r w:rsidRPr="00BA0084">
        <w:rPr>
          <w:bCs/>
          <w:iCs/>
          <w:lang w:val="en-GB"/>
        </w:rPr>
      </w:r>
      <w:r w:rsidRPr="00BA0084">
        <w:rPr>
          <w:bCs/>
          <w:iCs/>
          <w:lang w:val="en-GB"/>
        </w:rPr>
        <w:fldChar w:fldCharType="separate"/>
      </w:r>
      <w:r w:rsidR="00F97B66">
        <w:rPr>
          <w:bCs/>
          <w:iCs/>
          <w:lang w:val="en-GB"/>
        </w:rPr>
        <w:t>138</w:t>
      </w:r>
      <w:r w:rsidRPr="00BA0084">
        <w:rPr>
          <w:bCs/>
          <w:iCs/>
          <w:lang w:val="en-GB"/>
        </w:rPr>
        <w:fldChar w:fldCharType="end"/>
      </w:r>
      <w:r>
        <w:rPr>
          <w:bCs/>
          <w:iCs/>
          <w:lang w:val="en-GB"/>
        </w:rPr>
        <w:t xml:space="preserve"> above) </w:t>
      </w:r>
      <w:r>
        <w:t>as discussed above.</w:t>
      </w:r>
      <w:r w:rsidRPr="003D19A2">
        <w:t xml:space="preserve">  </w:t>
      </w:r>
    </w:p>
  </w:footnote>
  <w:footnote w:id="147">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sidRPr="003D19A2">
        <w:rPr>
          <w:bCs/>
          <w:i/>
          <w:iCs/>
          <w:lang w:val="en-GB"/>
        </w:rPr>
        <w:t xml:space="preserve">Brisley </w:t>
      </w:r>
      <w:r>
        <w:rPr>
          <w:bCs/>
          <w:iCs/>
        </w:rPr>
        <w:t>(note </w:t>
      </w:r>
      <w:r>
        <w:rPr>
          <w:bCs/>
          <w:iCs/>
        </w:rPr>
        <w:fldChar w:fldCharType="begin"/>
      </w:r>
      <w:r>
        <w:rPr>
          <w:bCs/>
          <w:iCs/>
        </w:rPr>
        <w:instrText xml:space="preserve"> NOTEREF _Ref520147396 \h  \* MERGEFORMAT </w:instrText>
      </w:r>
      <w:r>
        <w:rPr>
          <w:bCs/>
          <w:iCs/>
        </w:rPr>
      </w:r>
      <w:r>
        <w:rPr>
          <w:bCs/>
          <w:iCs/>
        </w:rPr>
        <w:fldChar w:fldCharType="separate"/>
      </w:r>
      <w:r w:rsidR="00F97B66">
        <w:rPr>
          <w:bCs/>
          <w:iCs/>
        </w:rPr>
        <w:t>147</w:t>
      </w:r>
      <w:r>
        <w:rPr>
          <w:bCs/>
          <w:iCs/>
        </w:rPr>
        <w:fldChar w:fldCharType="end"/>
      </w:r>
      <w:r>
        <w:rPr>
          <w:bCs/>
          <w:iCs/>
        </w:rPr>
        <w:t xml:space="preserve"> above) at</w:t>
      </w:r>
      <w:r w:rsidRPr="003D19A2">
        <w:t xml:space="preserve"> </w:t>
      </w:r>
      <w:r w:rsidRPr="003D19A2">
        <w:rPr>
          <w:lang w:val="en-GB"/>
        </w:rPr>
        <w:t>para 24.</w:t>
      </w:r>
    </w:p>
  </w:footnote>
  <w:footnote w:id="148">
    <w:p w:rsidR="00B613DB" w:rsidRPr="00E62CE9"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Pr>
          <w:bCs/>
          <w:iCs/>
          <w:lang w:val="en-GB"/>
        </w:rPr>
        <w:t>Ibid.</w:t>
      </w:r>
    </w:p>
  </w:footnote>
  <w:footnote w:id="149">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Pr>
          <w:lang w:val="en-GB"/>
        </w:rPr>
        <w:t xml:space="preserve"> Ibid at</w:t>
      </w:r>
      <w:r w:rsidRPr="003D19A2">
        <w:rPr>
          <w:lang w:val="en-GB"/>
        </w:rPr>
        <w:t xml:space="preserve"> para 31.</w:t>
      </w:r>
    </w:p>
  </w:footnote>
  <w:footnote w:id="150">
    <w:p w:rsidR="00B613DB" w:rsidRPr="001E7F76" w:rsidRDefault="00B613DB" w:rsidP="002F6072">
      <w:pPr>
        <w:pStyle w:val="FootnoteText"/>
      </w:pPr>
      <w:r>
        <w:rPr>
          <w:rStyle w:val="FootnoteReference"/>
        </w:rPr>
        <w:footnoteRef/>
      </w:r>
      <w:r>
        <w:t xml:space="preserve"> </w:t>
      </w:r>
      <w:r>
        <w:tab/>
      </w:r>
      <w:r w:rsidRPr="003D19A2">
        <w:rPr>
          <w:bCs/>
          <w:i/>
          <w:iCs/>
          <w:lang w:val="en-GB"/>
        </w:rPr>
        <w:t xml:space="preserve">Afrox Healthcare Bpk v Strydom </w:t>
      </w:r>
      <w:r w:rsidRPr="00E62CE9">
        <w:t>[2002] ZASCA 73</w:t>
      </w:r>
      <w:r>
        <w:t xml:space="preserve">, </w:t>
      </w:r>
      <w:r w:rsidRPr="003D19A2">
        <w:rPr>
          <w:bCs/>
          <w:lang w:val="en-GB"/>
        </w:rPr>
        <w:t>2002 6 SA 21 (SCA)</w:t>
      </w:r>
      <w:r w:rsidRPr="003D19A2">
        <w:rPr>
          <w:i/>
          <w:iCs/>
          <w:lang w:val="en-GB"/>
        </w:rPr>
        <w:t xml:space="preserve"> </w:t>
      </w:r>
      <w:r w:rsidRPr="003D19A2">
        <w:rPr>
          <w:lang w:val="en-GB"/>
        </w:rPr>
        <w:t>para 8</w:t>
      </w:r>
      <w:r>
        <w:rPr>
          <w:lang w:val="en-GB"/>
        </w:rPr>
        <w:t xml:space="preserve"> (‘</w:t>
      </w:r>
      <w:r>
        <w:rPr>
          <w:i/>
          <w:lang w:val="en-GB"/>
        </w:rPr>
        <w:t>Afrox</w:t>
      </w:r>
      <w:r>
        <w:rPr>
          <w:lang w:val="en-GB"/>
        </w:rPr>
        <w:t>’)</w:t>
      </w:r>
      <w:r w:rsidRPr="003D19A2">
        <w:rPr>
          <w:lang w:val="en-GB"/>
        </w:rPr>
        <w:t>.</w:t>
      </w:r>
    </w:p>
  </w:footnote>
  <w:footnote w:id="151">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sidRPr="003D19A2">
        <w:rPr>
          <w:bCs/>
          <w:i/>
          <w:iCs/>
          <w:lang w:val="en-GB"/>
        </w:rPr>
        <w:t xml:space="preserve">Afrox </w:t>
      </w:r>
      <w:r>
        <w:rPr>
          <w:bCs/>
          <w:iCs/>
          <w:lang w:val="en-GB"/>
        </w:rPr>
        <w:t>(note </w:t>
      </w:r>
      <w:r>
        <w:rPr>
          <w:bCs/>
          <w:iCs/>
          <w:lang w:val="en-GB"/>
        </w:rPr>
        <w:fldChar w:fldCharType="begin"/>
      </w:r>
      <w:r>
        <w:rPr>
          <w:bCs/>
          <w:iCs/>
          <w:lang w:val="en-GB"/>
        </w:rPr>
        <w:instrText xml:space="preserve"> NOTEREF _Ref520147645 \h  \* MERGEFORMAT </w:instrText>
      </w:r>
      <w:r>
        <w:rPr>
          <w:bCs/>
          <w:iCs/>
          <w:lang w:val="en-GB"/>
        </w:rPr>
      </w:r>
      <w:r>
        <w:rPr>
          <w:bCs/>
          <w:iCs/>
          <w:lang w:val="en-GB"/>
        </w:rPr>
        <w:fldChar w:fldCharType="separate"/>
      </w:r>
      <w:r w:rsidR="00F97B66">
        <w:rPr>
          <w:bCs/>
          <w:iCs/>
          <w:lang w:val="en-GB"/>
        </w:rPr>
        <w:t>152</w:t>
      </w:r>
      <w:r>
        <w:rPr>
          <w:bCs/>
          <w:iCs/>
          <w:lang w:val="en-GB"/>
        </w:rPr>
        <w:fldChar w:fldCharType="end"/>
      </w:r>
      <w:r>
        <w:rPr>
          <w:bCs/>
          <w:iCs/>
          <w:lang w:val="en-GB"/>
        </w:rPr>
        <w:t xml:space="preserve"> above) at </w:t>
      </w:r>
      <w:r w:rsidRPr="003D19A2">
        <w:rPr>
          <w:lang w:val="en-GB"/>
        </w:rPr>
        <w:t>para 8.</w:t>
      </w:r>
    </w:p>
  </w:footnote>
  <w:footnote w:id="152">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Pr>
          <w:bCs/>
          <w:iCs/>
          <w:lang w:val="en-GB"/>
        </w:rPr>
        <w:t>Ibid at</w:t>
      </w:r>
      <w:r w:rsidRPr="003D19A2">
        <w:rPr>
          <w:i/>
          <w:iCs/>
          <w:lang w:val="en-GB"/>
        </w:rPr>
        <w:t xml:space="preserve"> </w:t>
      </w:r>
      <w:r w:rsidRPr="003D19A2">
        <w:rPr>
          <w:lang w:val="en-GB"/>
        </w:rPr>
        <w:t>para 18.</w:t>
      </w:r>
    </w:p>
  </w:footnote>
  <w:footnote w:id="153">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Pr>
          <w:bCs/>
          <w:iCs/>
          <w:lang w:val="en-GB"/>
        </w:rPr>
        <w:t>Ibid at</w:t>
      </w:r>
      <w:r w:rsidRPr="003D19A2">
        <w:rPr>
          <w:i/>
          <w:iCs/>
          <w:lang w:val="en-GB"/>
        </w:rPr>
        <w:t xml:space="preserve"> </w:t>
      </w:r>
      <w:r w:rsidRPr="003D19A2">
        <w:rPr>
          <w:lang w:val="en-GB"/>
        </w:rPr>
        <w:t xml:space="preserve">para 22 quoting the minority judgment of appeal judge Cameron in </w:t>
      </w:r>
      <w:r w:rsidRPr="003D19A2">
        <w:rPr>
          <w:bCs/>
          <w:i/>
          <w:iCs/>
          <w:lang w:val="en-GB"/>
        </w:rPr>
        <w:t xml:space="preserve">Brisley </w:t>
      </w:r>
      <w:r>
        <w:rPr>
          <w:bCs/>
          <w:iCs/>
        </w:rPr>
        <w:t>(note </w:t>
      </w:r>
      <w:r>
        <w:rPr>
          <w:bCs/>
          <w:iCs/>
        </w:rPr>
        <w:fldChar w:fldCharType="begin"/>
      </w:r>
      <w:r>
        <w:rPr>
          <w:bCs/>
          <w:iCs/>
        </w:rPr>
        <w:instrText xml:space="preserve"> NOTEREF _Ref520147396 \h  \* MERGEFORMAT </w:instrText>
      </w:r>
      <w:r>
        <w:rPr>
          <w:bCs/>
          <w:iCs/>
        </w:rPr>
      </w:r>
      <w:r>
        <w:rPr>
          <w:bCs/>
          <w:iCs/>
        </w:rPr>
        <w:fldChar w:fldCharType="separate"/>
      </w:r>
      <w:r w:rsidR="00F97B66">
        <w:rPr>
          <w:bCs/>
          <w:iCs/>
        </w:rPr>
        <w:t>147</w:t>
      </w:r>
      <w:r>
        <w:rPr>
          <w:bCs/>
          <w:iCs/>
        </w:rPr>
        <w:fldChar w:fldCharType="end"/>
      </w:r>
      <w:r>
        <w:rPr>
          <w:bCs/>
          <w:iCs/>
        </w:rPr>
        <w:t xml:space="preserve"> above) at</w:t>
      </w:r>
      <w:r w:rsidRPr="003D19A2">
        <w:t xml:space="preserve"> </w:t>
      </w:r>
      <w:r w:rsidRPr="003D19A2">
        <w:rPr>
          <w:lang w:val="en-GB"/>
        </w:rPr>
        <w:t>para 94.</w:t>
      </w:r>
    </w:p>
  </w:footnote>
  <w:footnote w:id="154">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sidRPr="003D19A2">
        <w:rPr>
          <w:bCs/>
          <w:i/>
          <w:iCs/>
          <w:lang w:val="en-GB"/>
        </w:rPr>
        <w:t xml:space="preserve">Afrox </w:t>
      </w:r>
      <w:r>
        <w:rPr>
          <w:bCs/>
          <w:iCs/>
          <w:lang w:val="en-GB"/>
        </w:rPr>
        <w:t>(note </w:t>
      </w:r>
      <w:r>
        <w:rPr>
          <w:bCs/>
          <w:iCs/>
          <w:lang w:val="en-GB"/>
        </w:rPr>
        <w:fldChar w:fldCharType="begin"/>
      </w:r>
      <w:r>
        <w:rPr>
          <w:bCs/>
          <w:iCs/>
          <w:lang w:val="en-GB"/>
        </w:rPr>
        <w:instrText xml:space="preserve"> NOTEREF _Ref520147645 \h  \* MERGEFORMAT </w:instrText>
      </w:r>
      <w:r>
        <w:rPr>
          <w:bCs/>
          <w:iCs/>
          <w:lang w:val="en-GB"/>
        </w:rPr>
      </w:r>
      <w:r>
        <w:rPr>
          <w:bCs/>
          <w:iCs/>
          <w:lang w:val="en-GB"/>
        </w:rPr>
        <w:fldChar w:fldCharType="separate"/>
      </w:r>
      <w:r w:rsidR="00F97B66">
        <w:rPr>
          <w:bCs/>
          <w:iCs/>
          <w:lang w:val="en-GB"/>
        </w:rPr>
        <w:t>152</w:t>
      </w:r>
      <w:r>
        <w:rPr>
          <w:bCs/>
          <w:iCs/>
          <w:lang w:val="en-GB"/>
        </w:rPr>
        <w:fldChar w:fldCharType="end"/>
      </w:r>
      <w:r>
        <w:rPr>
          <w:bCs/>
          <w:iCs/>
          <w:lang w:val="en-GB"/>
        </w:rPr>
        <w:t xml:space="preserve"> above) at</w:t>
      </w:r>
      <w:r w:rsidRPr="003D19A2">
        <w:rPr>
          <w:i/>
          <w:iCs/>
          <w:lang w:val="en-GB"/>
        </w:rPr>
        <w:t xml:space="preserve"> </w:t>
      </w:r>
      <w:r w:rsidRPr="003D19A2">
        <w:rPr>
          <w:lang w:val="en-GB"/>
        </w:rPr>
        <w:t>para 23.</w:t>
      </w:r>
    </w:p>
  </w:footnote>
  <w:footnote w:id="155">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Pr>
          <w:bCs/>
          <w:iCs/>
          <w:lang w:val="en-GB"/>
        </w:rPr>
        <w:t>Ibid at</w:t>
      </w:r>
      <w:r w:rsidRPr="003D19A2">
        <w:rPr>
          <w:i/>
          <w:iCs/>
          <w:lang w:val="en-GB"/>
        </w:rPr>
        <w:t xml:space="preserve"> </w:t>
      </w:r>
      <w:r w:rsidRPr="003D19A2">
        <w:rPr>
          <w:lang w:val="en-GB"/>
        </w:rPr>
        <w:t>para 12.</w:t>
      </w:r>
    </w:p>
  </w:footnote>
  <w:footnote w:id="156">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Pr>
          <w:bCs/>
          <w:iCs/>
          <w:lang w:val="en-GB"/>
        </w:rPr>
        <w:t>Ibid at</w:t>
      </w:r>
      <w:r w:rsidRPr="003D19A2">
        <w:rPr>
          <w:i/>
          <w:iCs/>
          <w:lang w:val="en-GB"/>
        </w:rPr>
        <w:t xml:space="preserve"> </w:t>
      </w:r>
      <w:r w:rsidRPr="003D19A2">
        <w:rPr>
          <w:lang w:val="en-GB"/>
        </w:rPr>
        <w:t xml:space="preserve">para 32. </w:t>
      </w:r>
    </w:p>
  </w:footnote>
  <w:footnote w:id="157">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Pr>
          <w:lang w:val="en-GB"/>
        </w:rPr>
        <w:t xml:space="preserve">DM </w:t>
      </w:r>
      <w:r w:rsidRPr="003D19A2">
        <w:rPr>
          <w:bCs/>
          <w:lang w:val="en-GB"/>
        </w:rPr>
        <w:t xml:space="preserve">Davis &amp; </w:t>
      </w:r>
      <w:r>
        <w:rPr>
          <w:bCs/>
          <w:lang w:val="en-GB"/>
        </w:rPr>
        <w:t xml:space="preserve">K </w:t>
      </w:r>
      <w:r w:rsidRPr="003D19A2">
        <w:rPr>
          <w:bCs/>
          <w:lang w:val="en-GB"/>
        </w:rPr>
        <w:t xml:space="preserve">Klare </w:t>
      </w:r>
      <w:r>
        <w:rPr>
          <w:bCs/>
          <w:lang w:val="en-GB"/>
        </w:rPr>
        <w:t>‘Transformative constitutionalism and the common and customary law’ (</w:t>
      </w:r>
      <w:r w:rsidRPr="003D19A2">
        <w:rPr>
          <w:bCs/>
          <w:lang w:val="en-GB"/>
        </w:rPr>
        <w:t>2010</w:t>
      </w:r>
      <w:r>
        <w:rPr>
          <w:bCs/>
          <w:lang w:val="en-GB"/>
        </w:rPr>
        <w:t>) 26</w:t>
      </w:r>
      <w:r w:rsidRPr="003D19A2">
        <w:rPr>
          <w:bCs/>
          <w:lang w:val="en-GB"/>
        </w:rPr>
        <w:t xml:space="preserve"> </w:t>
      </w:r>
      <w:r w:rsidRPr="003D19A2">
        <w:rPr>
          <w:bCs/>
          <w:i/>
          <w:iCs/>
          <w:lang w:val="en-GB"/>
        </w:rPr>
        <w:t>S</w:t>
      </w:r>
      <w:r>
        <w:rPr>
          <w:bCs/>
          <w:i/>
          <w:iCs/>
          <w:lang w:val="en-GB"/>
        </w:rPr>
        <w:t xml:space="preserve">outh </w:t>
      </w:r>
      <w:r w:rsidRPr="003D19A2">
        <w:rPr>
          <w:bCs/>
          <w:i/>
          <w:iCs/>
          <w:lang w:val="en-GB"/>
        </w:rPr>
        <w:t>A</w:t>
      </w:r>
      <w:r>
        <w:rPr>
          <w:bCs/>
          <w:i/>
          <w:iCs/>
          <w:lang w:val="en-GB"/>
        </w:rPr>
        <w:t xml:space="preserve">frican </w:t>
      </w:r>
      <w:r w:rsidRPr="003D19A2">
        <w:rPr>
          <w:bCs/>
          <w:i/>
          <w:iCs/>
          <w:lang w:val="en-GB"/>
        </w:rPr>
        <w:t>J</w:t>
      </w:r>
      <w:r>
        <w:rPr>
          <w:bCs/>
          <w:i/>
          <w:iCs/>
          <w:lang w:val="en-GB"/>
        </w:rPr>
        <w:t xml:space="preserve">ournal on </w:t>
      </w:r>
      <w:r w:rsidRPr="003D19A2">
        <w:rPr>
          <w:bCs/>
          <w:i/>
          <w:iCs/>
          <w:lang w:val="en-GB"/>
        </w:rPr>
        <w:t>H</w:t>
      </w:r>
      <w:r>
        <w:rPr>
          <w:bCs/>
          <w:i/>
          <w:iCs/>
          <w:lang w:val="en-GB"/>
        </w:rPr>
        <w:t xml:space="preserve">uman </w:t>
      </w:r>
      <w:r w:rsidRPr="003D19A2">
        <w:rPr>
          <w:bCs/>
          <w:i/>
          <w:iCs/>
          <w:lang w:val="en-GB"/>
        </w:rPr>
        <w:t>R</w:t>
      </w:r>
      <w:r>
        <w:rPr>
          <w:bCs/>
          <w:i/>
          <w:iCs/>
          <w:lang w:val="en-GB"/>
        </w:rPr>
        <w:t>ights</w:t>
      </w:r>
      <w:r>
        <w:rPr>
          <w:bCs/>
          <w:iCs/>
          <w:lang w:val="en-GB"/>
        </w:rPr>
        <w:t xml:space="preserve"> 403,</w:t>
      </w:r>
      <w:r w:rsidRPr="003D19A2">
        <w:rPr>
          <w:bCs/>
          <w:lang w:val="en-GB"/>
        </w:rPr>
        <w:t xml:space="preserve"> 481.</w:t>
      </w:r>
    </w:p>
  </w:footnote>
  <w:footnote w:id="158">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sidR="00F97B66" w:rsidRPr="003D19A2">
        <w:rPr>
          <w:bCs/>
          <w:i/>
          <w:iCs/>
          <w:lang w:val="en-GB"/>
        </w:rPr>
        <w:t xml:space="preserve">Sasfin </w:t>
      </w:r>
      <w:r w:rsidR="00F97B66">
        <w:rPr>
          <w:bCs/>
          <w:iCs/>
          <w:lang w:val="en-GB"/>
        </w:rPr>
        <w:t xml:space="preserve">(note </w:t>
      </w:r>
      <w:r w:rsidR="00F97B66">
        <w:rPr>
          <w:bCs/>
          <w:iCs/>
          <w:lang w:val="en-GB"/>
        </w:rPr>
        <w:fldChar w:fldCharType="begin"/>
      </w:r>
      <w:r w:rsidR="00F97B66">
        <w:rPr>
          <w:bCs/>
          <w:iCs/>
          <w:lang w:val="en-GB"/>
        </w:rPr>
        <w:instrText xml:space="preserve"> NOTEREF _Ref520149581 \h </w:instrText>
      </w:r>
      <w:r w:rsidR="00F97B66">
        <w:rPr>
          <w:bCs/>
          <w:iCs/>
          <w:lang w:val="en-GB"/>
        </w:rPr>
      </w:r>
      <w:r w:rsidR="00F97B66">
        <w:rPr>
          <w:bCs/>
          <w:iCs/>
          <w:lang w:val="en-GB"/>
        </w:rPr>
        <w:fldChar w:fldCharType="separate"/>
      </w:r>
      <w:r w:rsidR="00F97B66">
        <w:rPr>
          <w:bCs/>
          <w:iCs/>
          <w:lang w:val="en-GB"/>
        </w:rPr>
        <w:t>119</w:t>
      </w:r>
      <w:r w:rsidR="00F97B66">
        <w:rPr>
          <w:bCs/>
          <w:iCs/>
          <w:lang w:val="en-GB"/>
        </w:rPr>
        <w:fldChar w:fldCharType="end"/>
      </w:r>
      <w:r w:rsidR="00F97B66">
        <w:rPr>
          <w:bCs/>
          <w:iCs/>
          <w:lang w:val="en-GB"/>
        </w:rPr>
        <w:t xml:space="preserve"> above)</w:t>
      </w:r>
      <w:r>
        <w:rPr>
          <w:bCs/>
          <w:iCs/>
          <w:lang w:val="en-GB"/>
        </w:rPr>
        <w:t xml:space="preserve"> at </w:t>
      </w:r>
      <w:r w:rsidRPr="003D19A2">
        <w:rPr>
          <w:lang w:val="en-GB"/>
        </w:rPr>
        <w:t xml:space="preserve">9 as discussed in </w:t>
      </w:r>
      <w:r>
        <w:rPr>
          <w:lang w:val="en-GB"/>
        </w:rPr>
        <w:t>the text at n </w:t>
      </w:r>
      <w:r>
        <w:rPr>
          <w:lang w:val="en-GB"/>
        </w:rPr>
        <w:fldChar w:fldCharType="begin"/>
      </w:r>
      <w:r>
        <w:rPr>
          <w:lang w:val="en-GB"/>
        </w:rPr>
        <w:instrText xml:space="preserve"> NOTEREF _Ref446318096 \h  \* MERGEFORMAT </w:instrText>
      </w:r>
      <w:r>
        <w:rPr>
          <w:lang w:val="en-GB"/>
        </w:rPr>
      </w:r>
      <w:r>
        <w:rPr>
          <w:lang w:val="en-GB"/>
        </w:rPr>
        <w:fldChar w:fldCharType="separate"/>
      </w:r>
      <w:r w:rsidR="00F97B66">
        <w:rPr>
          <w:lang w:val="en-GB"/>
        </w:rPr>
        <w:t>120</w:t>
      </w:r>
      <w:r>
        <w:rPr>
          <w:lang w:val="en-GB"/>
        </w:rPr>
        <w:fldChar w:fldCharType="end"/>
      </w:r>
      <w:r>
        <w:rPr>
          <w:lang w:val="en-GB"/>
        </w:rPr>
        <w:t xml:space="preserve"> above.</w:t>
      </w:r>
      <w:r w:rsidRPr="003D19A2">
        <w:rPr>
          <w:lang w:val="en-GB"/>
        </w:rPr>
        <w:t xml:space="preserve"> </w:t>
      </w:r>
    </w:p>
  </w:footnote>
  <w:footnote w:id="159">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t xml:space="preserve">Botha </w:t>
      </w:r>
      <w:r>
        <w:rPr>
          <w:lang w:val="en-GB"/>
        </w:rPr>
        <w:t>(note </w:t>
      </w:r>
      <w:r>
        <w:rPr>
          <w:lang w:val="en-GB"/>
        </w:rPr>
        <w:fldChar w:fldCharType="begin"/>
      </w:r>
      <w:r>
        <w:rPr>
          <w:lang w:val="en-GB"/>
        </w:rPr>
        <w:instrText xml:space="preserve"> NOTEREF _Ref520141370 \h  \* MERGEFORMAT </w:instrText>
      </w:r>
      <w:r>
        <w:rPr>
          <w:lang w:val="en-GB"/>
        </w:rPr>
      </w:r>
      <w:r>
        <w:rPr>
          <w:lang w:val="en-GB"/>
        </w:rPr>
        <w:fldChar w:fldCharType="separate"/>
      </w:r>
      <w:r w:rsidR="00F97B66">
        <w:rPr>
          <w:lang w:val="en-GB"/>
        </w:rPr>
        <w:t>22</w:t>
      </w:r>
      <w:r>
        <w:rPr>
          <w:lang w:val="en-GB"/>
        </w:rPr>
        <w:fldChar w:fldCharType="end"/>
      </w:r>
      <w:r>
        <w:rPr>
          <w:lang w:val="en-GB"/>
        </w:rPr>
        <w:t xml:space="preserve"> above) at</w:t>
      </w:r>
      <w:r w:rsidRPr="003D19A2">
        <w:rPr>
          <w:lang w:val="en-GB"/>
        </w:rPr>
        <w:t xml:space="preserve"> 212.</w:t>
      </w:r>
    </w:p>
  </w:footnote>
  <w:footnote w:id="160">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sidRPr="003D19A2">
        <w:rPr>
          <w:i/>
          <w:iCs/>
          <w:lang w:val="en-GB"/>
        </w:rPr>
        <w:t xml:space="preserve">Barkhuizen </w:t>
      </w:r>
      <w:r>
        <w:rPr>
          <w:iCs/>
          <w:lang w:val="en-GB"/>
        </w:rPr>
        <w:t xml:space="preserve">(note </w:t>
      </w:r>
      <w:r>
        <w:rPr>
          <w:iCs/>
          <w:lang w:val="en-GB"/>
        </w:rPr>
        <w:fldChar w:fldCharType="begin"/>
      </w:r>
      <w:r>
        <w:rPr>
          <w:iCs/>
          <w:lang w:val="en-GB"/>
        </w:rPr>
        <w:instrText xml:space="preserve"> NOTEREF _Ref520135956 \h  \* MERGEFORMAT </w:instrText>
      </w:r>
      <w:r>
        <w:rPr>
          <w:iCs/>
          <w:lang w:val="en-GB"/>
        </w:rPr>
      </w:r>
      <w:r>
        <w:rPr>
          <w:iCs/>
          <w:lang w:val="en-GB"/>
        </w:rPr>
        <w:fldChar w:fldCharType="separate"/>
      </w:r>
      <w:r w:rsidR="00F97B66">
        <w:rPr>
          <w:iCs/>
          <w:lang w:val="en-GB"/>
        </w:rPr>
        <w:t>3</w:t>
      </w:r>
      <w:r>
        <w:rPr>
          <w:iCs/>
          <w:lang w:val="en-GB"/>
        </w:rPr>
        <w:fldChar w:fldCharType="end"/>
      </w:r>
      <w:r>
        <w:rPr>
          <w:iCs/>
          <w:lang w:val="en-GB"/>
        </w:rPr>
        <w:t xml:space="preserve"> above) at</w:t>
      </w:r>
      <w:r w:rsidRPr="003D19A2">
        <w:rPr>
          <w:lang w:val="en-GB"/>
        </w:rPr>
        <w:t xml:space="preserve"> para</w:t>
      </w:r>
      <w:r>
        <w:rPr>
          <w:lang w:val="en-GB"/>
        </w:rPr>
        <w:t>s</w:t>
      </w:r>
      <w:r w:rsidRPr="003D19A2">
        <w:rPr>
          <w:lang w:val="en-GB"/>
        </w:rPr>
        <w:t xml:space="preserve"> </w:t>
      </w:r>
      <w:r>
        <w:rPr>
          <w:lang w:val="en-GB"/>
        </w:rPr>
        <w:t>28-</w:t>
      </w:r>
      <w:r w:rsidRPr="003D19A2">
        <w:rPr>
          <w:lang w:val="en-GB"/>
        </w:rPr>
        <w:t>29.</w:t>
      </w:r>
    </w:p>
  </w:footnote>
  <w:footnote w:id="161">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sidRPr="003D19A2">
        <w:rPr>
          <w:i/>
          <w:iCs/>
          <w:lang w:val="en-GB"/>
        </w:rPr>
        <w:t xml:space="preserve">Barkhuizen </w:t>
      </w:r>
      <w:r>
        <w:rPr>
          <w:iCs/>
          <w:lang w:val="en-GB"/>
        </w:rPr>
        <w:t xml:space="preserve">(note </w:t>
      </w:r>
      <w:r>
        <w:rPr>
          <w:iCs/>
          <w:lang w:val="en-GB"/>
        </w:rPr>
        <w:fldChar w:fldCharType="begin"/>
      </w:r>
      <w:r>
        <w:rPr>
          <w:iCs/>
          <w:lang w:val="en-GB"/>
        </w:rPr>
        <w:instrText xml:space="preserve"> NOTEREF _Ref520135956 \h  \* MERGEFORMAT </w:instrText>
      </w:r>
      <w:r>
        <w:rPr>
          <w:iCs/>
          <w:lang w:val="en-GB"/>
        </w:rPr>
      </w:r>
      <w:r>
        <w:rPr>
          <w:iCs/>
          <w:lang w:val="en-GB"/>
        </w:rPr>
        <w:fldChar w:fldCharType="separate"/>
      </w:r>
      <w:r w:rsidR="00F97B66">
        <w:rPr>
          <w:iCs/>
          <w:lang w:val="en-GB"/>
        </w:rPr>
        <w:t>3</w:t>
      </w:r>
      <w:r>
        <w:rPr>
          <w:iCs/>
          <w:lang w:val="en-GB"/>
        </w:rPr>
        <w:fldChar w:fldCharType="end"/>
      </w:r>
      <w:r>
        <w:rPr>
          <w:iCs/>
          <w:lang w:val="en-GB"/>
        </w:rPr>
        <w:t xml:space="preserve"> above) at</w:t>
      </w:r>
      <w:r w:rsidRPr="003D19A2">
        <w:rPr>
          <w:lang w:val="en-GB"/>
        </w:rPr>
        <w:t xml:space="preserve"> para 50 n 33 referring to </w:t>
      </w:r>
      <w:r w:rsidR="00F97B66" w:rsidRPr="003D19A2">
        <w:rPr>
          <w:bCs/>
          <w:i/>
          <w:iCs/>
          <w:lang w:val="en-GB"/>
        </w:rPr>
        <w:t xml:space="preserve">Sasfin </w:t>
      </w:r>
      <w:r w:rsidR="00F97B66">
        <w:rPr>
          <w:bCs/>
          <w:iCs/>
          <w:lang w:val="en-GB"/>
        </w:rPr>
        <w:t xml:space="preserve">(note </w:t>
      </w:r>
      <w:r w:rsidR="00F97B66">
        <w:rPr>
          <w:bCs/>
          <w:iCs/>
          <w:lang w:val="en-GB"/>
        </w:rPr>
        <w:fldChar w:fldCharType="begin"/>
      </w:r>
      <w:r w:rsidR="00F97B66">
        <w:rPr>
          <w:bCs/>
          <w:iCs/>
          <w:lang w:val="en-GB"/>
        </w:rPr>
        <w:instrText xml:space="preserve"> NOTEREF _Ref520149581 \h </w:instrText>
      </w:r>
      <w:r w:rsidR="00F97B66">
        <w:rPr>
          <w:bCs/>
          <w:iCs/>
          <w:lang w:val="en-GB"/>
        </w:rPr>
      </w:r>
      <w:r w:rsidR="00F97B66">
        <w:rPr>
          <w:bCs/>
          <w:iCs/>
          <w:lang w:val="en-GB"/>
        </w:rPr>
        <w:fldChar w:fldCharType="separate"/>
      </w:r>
      <w:r w:rsidR="00F97B66">
        <w:rPr>
          <w:bCs/>
          <w:iCs/>
          <w:lang w:val="en-GB"/>
        </w:rPr>
        <w:t>119</w:t>
      </w:r>
      <w:r w:rsidR="00F97B66">
        <w:rPr>
          <w:bCs/>
          <w:iCs/>
          <w:lang w:val="en-GB"/>
        </w:rPr>
        <w:fldChar w:fldCharType="end"/>
      </w:r>
      <w:r w:rsidR="00F97B66">
        <w:rPr>
          <w:bCs/>
          <w:iCs/>
          <w:lang w:val="en-GB"/>
        </w:rPr>
        <w:t xml:space="preserve"> above) </w:t>
      </w:r>
      <w:r>
        <w:rPr>
          <w:bCs/>
          <w:iCs/>
          <w:lang w:val="en-GB"/>
        </w:rPr>
        <w:t>at</w:t>
      </w:r>
      <w:r w:rsidRPr="003D19A2">
        <w:rPr>
          <w:bCs/>
          <w:lang w:val="en-GB"/>
        </w:rPr>
        <w:t xml:space="preserve"> 9. </w:t>
      </w:r>
    </w:p>
  </w:footnote>
  <w:footnote w:id="162">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sidRPr="003D19A2">
        <w:rPr>
          <w:i/>
          <w:iCs/>
          <w:lang w:val="en-GB"/>
        </w:rPr>
        <w:t xml:space="preserve">Barkhuizen </w:t>
      </w:r>
      <w:r>
        <w:rPr>
          <w:iCs/>
          <w:lang w:val="en-GB"/>
        </w:rPr>
        <w:t xml:space="preserve">(note </w:t>
      </w:r>
      <w:r>
        <w:rPr>
          <w:iCs/>
          <w:lang w:val="en-GB"/>
        </w:rPr>
        <w:fldChar w:fldCharType="begin"/>
      </w:r>
      <w:r>
        <w:rPr>
          <w:iCs/>
          <w:lang w:val="en-GB"/>
        </w:rPr>
        <w:instrText xml:space="preserve"> NOTEREF _Ref520135956 \h  \* MERGEFORMAT </w:instrText>
      </w:r>
      <w:r>
        <w:rPr>
          <w:iCs/>
          <w:lang w:val="en-GB"/>
        </w:rPr>
      </w:r>
      <w:r>
        <w:rPr>
          <w:iCs/>
          <w:lang w:val="en-GB"/>
        </w:rPr>
        <w:fldChar w:fldCharType="separate"/>
      </w:r>
      <w:r w:rsidR="00F97B66">
        <w:rPr>
          <w:iCs/>
          <w:lang w:val="en-GB"/>
        </w:rPr>
        <w:t>3</w:t>
      </w:r>
      <w:r>
        <w:rPr>
          <w:iCs/>
          <w:lang w:val="en-GB"/>
        </w:rPr>
        <w:fldChar w:fldCharType="end"/>
      </w:r>
      <w:r>
        <w:rPr>
          <w:iCs/>
          <w:lang w:val="en-GB"/>
        </w:rPr>
        <w:t xml:space="preserve"> above) at</w:t>
      </w:r>
      <w:r w:rsidRPr="003D19A2">
        <w:rPr>
          <w:lang w:val="en-GB"/>
        </w:rPr>
        <w:t xml:space="preserve"> paras 51 &amp; 73.</w:t>
      </w:r>
    </w:p>
  </w:footnote>
  <w:footnote w:id="163">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Pr>
          <w:iCs/>
          <w:lang w:val="en-GB"/>
        </w:rPr>
        <w:t>Ibid at</w:t>
      </w:r>
      <w:r w:rsidRPr="003D19A2">
        <w:rPr>
          <w:lang w:val="en-GB"/>
        </w:rPr>
        <w:t xml:space="preserve"> para 70 referring to </w:t>
      </w:r>
      <w:r w:rsidRPr="003D19A2">
        <w:rPr>
          <w:i/>
          <w:iCs/>
          <w:lang w:val="en-GB"/>
        </w:rPr>
        <w:t>Napier v Barkhuizen</w:t>
      </w:r>
      <w:r w:rsidRPr="003D19A2">
        <w:rPr>
          <w:lang w:val="en-GB"/>
        </w:rPr>
        <w:t xml:space="preserve"> </w:t>
      </w:r>
      <w:r w:rsidRPr="001E7F76">
        <w:t>[2005] ZASCA 119</w:t>
      </w:r>
      <w:r>
        <w:t xml:space="preserve">, </w:t>
      </w:r>
      <w:r>
        <w:rPr>
          <w:lang w:val="en-GB"/>
        </w:rPr>
        <w:t>2006 4 SA 1 (SCA) para </w:t>
      </w:r>
      <w:r w:rsidRPr="003D19A2">
        <w:rPr>
          <w:lang w:val="en-GB"/>
        </w:rPr>
        <w:t>13.</w:t>
      </w:r>
    </w:p>
  </w:footnote>
  <w:footnote w:id="164">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sidRPr="003D19A2">
        <w:rPr>
          <w:i/>
          <w:iCs/>
          <w:lang w:val="en-GB"/>
        </w:rPr>
        <w:t xml:space="preserve">Barkhuizen </w:t>
      </w:r>
      <w:r>
        <w:rPr>
          <w:iCs/>
          <w:lang w:val="en-GB"/>
        </w:rPr>
        <w:t xml:space="preserve">(note </w:t>
      </w:r>
      <w:r>
        <w:rPr>
          <w:iCs/>
          <w:lang w:val="en-GB"/>
        </w:rPr>
        <w:fldChar w:fldCharType="begin"/>
      </w:r>
      <w:r>
        <w:rPr>
          <w:iCs/>
          <w:lang w:val="en-GB"/>
        </w:rPr>
        <w:instrText xml:space="preserve"> NOTEREF _Ref520135956 \h  \* MERGEFORMAT </w:instrText>
      </w:r>
      <w:r>
        <w:rPr>
          <w:iCs/>
          <w:lang w:val="en-GB"/>
        </w:rPr>
      </w:r>
      <w:r>
        <w:rPr>
          <w:iCs/>
          <w:lang w:val="en-GB"/>
        </w:rPr>
        <w:fldChar w:fldCharType="separate"/>
      </w:r>
      <w:r w:rsidR="00F97B66">
        <w:rPr>
          <w:iCs/>
          <w:lang w:val="en-GB"/>
        </w:rPr>
        <w:t>3</w:t>
      </w:r>
      <w:r>
        <w:rPr>
          <w:iCs/>
          <w:lang w:val="en-GB"/>
        </w:rPr>
        <w:fldChar w:fldCharType="end"/>
      </w:r>
      <w:r>
        <w:rPr>
          <w:iCs/>
          <w:lang w:val="en-GB"/>
        </w:rPr>
        <w:t xml:space="preserve"> above) at</w:t>
      </w:r>
      <w:r w:rsidRPr="003D19A2">
        <w:rPr>
          <w:lang w:val="en-GB"/>
        </w:rPr>
        <w:t xml:space="preserve"> para 72.</w:t>
      </w:r>
    </w:p>
  </w:footnote>
  <w:footnote w:id="165">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Pr>
          <w:iCs/>
          <w:lang w:val="en-GB"/>
        </w:rPr>
        <w:t>Ibid at</w:t>
      </w:r>
      <w:r w:rsidRPr="003D19A2">
        <w:rPr>
          <w:lang w:val="en-GB"/>
        </w:rPr>
        <w:t xml:space="preserve"> para 56. </w:t>
      </w:r>
    </w:p>
  </w:footnote>
  <w:footnote w:id="166">
    <w:p w:rsidR="00B613DB" w:rsidRPr="0003721C" w:rsidRDefault="00B613DB" w:rsidP="002F6072">
      <w:pPr>
        <w:pStyle w:val="FootnoteText"/>
      </w:pPr>
      <w:r>
        <w:rPr>
          <w:rStyle w:val="FootnoteReference"/>
        </w:rPr>
        <w:footnoteRef/>
      </w:r>
      <w:r>
        <w:t xml:space="preserve"> </w:t>
      </w:r>
      <w:r>
        <w:tab/>
      </w:r>
      <w:r>
        <w:rPr>
          <w:iCs/>
          <w:lang w:val="en-GB"/>
        </w:rPr>
        <w:t>Ibid at</w:t>
      </w:r>
      <w:r w:rsidRPr="003D19A2">
        <w:rPr>
          <w:lang w:val="en-GB"/>
        </w:rPr>
        <w:t xml:space="preserve"> para 57. </w:t>
      </w:r>
    </w:p>
  </w:footnote>
  <w:footnote w:id="167">
    <w:p w:rsidR="00B613DB" w:rsidRPr="003D19A2" w:rsidRDefault="00B613DB" w:rsidP="002F6072">
      <w:pPr>
        <w:pStyle w:val="FootnoteText"/>
      </w:pPr>
      <w:r w:rsidRPr="003D19A2">
        <w:rPr>
          <w:rStyle w:val="FootnoteReference"/>
        </w:rPr>
        <w:footnoteRef/>
      </w:r>
      <w:r w:rsidRPr="003D19A2">
        <w:t xml:space="preserve"> </w:t>
      </w:r>
      <w:r w:rsidRPr="003D19A2">
        <w:tab/>
      </w:r>
      <w:r>
        <w:rPr>
          <w:iCs/>
          <w:lang w:val="en-GB"/>
        </w:rPr>
        <w:t>Ibid at</w:t>
      </w:r>
      <w:r w:rsidRPr="003D19A2">
        <w:t xml:space="preserve"> para 59 where the court refers to the “objective terms” of the contract. See also </w:t>
      </w:r>
      <w:r>
        <w:t xml:space="preserve">L </w:t>
      </w:r>
      <w:r w:rsidRPr="003D19A2">
        <w:t>Hawthorne</w:t>
      </w:r>
      <w:r>
        <w:t xml:space="preserve"> ‘Contract law: contextualization and unequal bargaining position </w:t>
      </w:r>
      <w:proofErr w:type="spellStart"/>
      <w:r>
        <w:rPr>
          <w:i/>
        </w:rPr>
        <w:t>Redux</w:t>
      </w:r>
      <w:proofErr w:type="spellEnd"/>
      <w:r>
        <w:t>’</w:t>
      </w:r>
      <w:r w:rsidRPr="003D19A2">
        <w:t xml:space="preserve"> </w:t>
      </w:r>
      <w:r>
        <w:t>(</w:t>
      </w:r>
      <w:r w:rsidRPr="003D19A2">
        <w:t>2010</w:t>
      </w:r>
      <w:r>
        <w:t>) 43</w:t>
      </w:r>
      <w:r w:rsidRPr="003D19A2">
        <w:t xml:space="preserve"> </w:t>
      </w:r>
      <w:r w:rsidRPr="003D19A2">
        <w:rPr>
          <w:i/>
          <w:iCs/>
        </w:rPr>
        <w:t>De Jure</w:t>
      </w:r>
      <w:r w:rsidRPr="003D19A2">
        <w:t xml:space="preserve"> </w:t>
      </w:r>
      <w:r>
        <w:t xml:space="preserve">395, </w:t>
      </w:r>
      <w:r w:rsidRPr="003D19A2">
        <w:t xml:space="preserve">398; Botha </w:t>
      </w:r>
      <w:r>
        <w:rPr>
          <w:lang w:val="en-GB"/>
        </w:rPr>
        <w:t>(note </w:t>
      </w:r>
      <w:r>
        <w:rPr>
          <w:lang w:val="en-GB"/>
        </w:rPr>
        <w:fldChar w:fldCharType="begin"/>
      </w:r>
      <w:r>
        <w:rPr>
          <w:lang w:val="en-GB"/>
        </w:rPr>
        <w:instrText xml:space="preserve"> NOTEREF _Ref520141370 \h  \* MERGEFORMAT </w:instrText>
      </w:r>
      <w:r>
        <w:rPr>
          <w:lang w:val="en-GB"/>
        </w:rPr>
      </w:r>
      <w:r>
        <w:rPr>
          <w:lang w:val="en-GB"/>
        </w:rPr>
        <w:fldChar w:fldCharType="separate"/>
      </w:r>
      <w:r w:rsidR="00F97B66">
        <w:rPr>
          <w:lang w:val="en-GB"/>
        </w:rPr>
        <w:t>22</w:t>
      </w:r>
      <w:r>
        <w:rPr>
          <w:lang w:val="en-GB"/>
        </w:rPr>
        <w:fldChar w:fldCharType="end"/>
      </w:r>
      <w:r>
        <w:rPr>
          <w:lang w:val="en-GB"/>
        </w:rPr>
        <w:t xml:space="preserve"> above) at</w:t>
      </w:r>
      <w:r w:rsidRPr="003D19A2">
        <w:rPr>
          <w:lang w:val="en-GB"/>
        </w:rPr>
        <w:t xml:space="preserve"> </w:t>
      </w:r>
      <w:r w:rsidRPr="003D19A2">
        <w:t xml:space="preserve">212. </w:t>
      </w:r>
    </w:p>
  </w:footnote>
  <w:footnote w:id="168">
    <w:p w:rsidR="00B613DB" w:rsidRPr="003D19A2" w:rsidRDefault="00B613DB" w:rsidP="002F6072">
      <w:pPr>
        <w:pStyle w:val="FootnoteText"/>
      </w:pPr>
      <w:r w:rsidRPr="003D19A2">
        <w:rPr>
          <w:rStyle w:val="FootnoteReference"/>
        </w:rPr>
        <w:footnoteRef/>
      </w:r>
      <w:r w:rsidRPr="003D19A2">
        <w:t xml:space="preserve"> </w:t>
      </w:r>
      <w:r w:rsidRPr="003D19A2">
        <w:tab/>
      </w:r>
      <w:r w:rsidRPr="003D19A2">
        <w:rPr>
          <w:i/>
          <w:iCs/>
          <w:lang w:val="en-GB"/>
        </w:rPr>
        <w:t xml:space="preserve">Barkhuizen </w:t>
      </w:r>
      <w:r>
        <w:rPr>
          <w:iCs/>
          <w:lang w:val="en-GB"/>
        </w:rPr>
        <w:t xml:space="preserve">(note </w:t>
      </w:r>
      <w:r>
        <w:rPr>
          <w:iCs/>
          <w:lang w:val="en-GB"/>
        </w:rPr>
        <w:fldChar w:fldCharType="begin"/>
      </w:r>
      <w:r>
        <w:rPr>
          <w:iCs/>
          <w:lang w:val="en-GB"/>
        </w:rPr>
        <w:instrText xml:space="preserve"> NOTEREF _Ref520135956 \h  \* MERGEFORMAT </w:instrText>
      </w:r>
      <w:r>
        <w:rPr>
          <w:iCs/>
          <w:lang w:val="en-GB"/>
        </w:rPr>
      </w:r>
      <w:r>
        <w:rPr>
          <w:iCs/>
          <w:lang w:val="en-GB"/>
        </w:rPr>
        <w:fldChar w:fldCharType="separate"/>
      </w:r>
      <w:r w:rsidR="00F97B66">
        <w:rPr>
          <w:iCs/>
          <w:lang w:val="en-GB"/>
        </w:rPr>
        <w:t>3</w:t>
      </w:r>
      <w:r>
        <w:rPr>
          <w:iCs/>
          <w:lang w:val="en-GB"/>
        </w:rPr>
        <w:fldChar w:fldCharType="end"/>
      </w:r>
      <w:r>
        <w:rPr>
          <w:iCs/>
          <w:lang w:val="en-GB"/>
        </w:rPr>
        <w:t xml:space="preserve"> above) at</w:t>
      </w:r>
      <w:r w:rsidRPr="003D19A2">
        <w:t xml:space="preserve"> para 57.</w:t>
      </w:r>
    </w:p>
  </w:footnote>
  <w:footnote w:id="169">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Pr>
          <w:lang w:val="en-GB"/>
        </w:rPr>
        <w:t xml:space="preserve">FDJ </w:t>
      </w:r>
      <w:r w:rsidRPr="003D19A2">
        <w:rPr>
          <w:lang w:val="en-GB"/>
        </w:rPr>
        <w:t xml:space="preserve">Brand </w:t>
      </w:r>
      <w:r>
        <w:rPr>
          <w:lang w:val="en-GB"/>
        </w:rPr>
        <w:t>‘The role of good faith, equity and fairness in the South African law of contract: The influence of the common law and the Constitution’ (</w:t>
      </w:r>
      <w:r w:rsidRPr="003D19A2">
        <w:rPr>
          <w:lang w:val="en-GB"/>
        </w:rPr>
        <w:t>2009</w:t>
      </w:r>
      <w:r>
        <w:rPr>
          <w:lang w:val="en-GB"/>
        </w:rPr>
        <w:t>) 126</w:t>
      </w:r>
      <w:r w:rsidRPr="003D19A2">
        <w:rPr>
          <w:lang w:val="en-GB"/>
        </w:rPr>
        <w:t xml:space="preserve"> </w:t>
      </w:r>
      <w:r w:rsidRPr="003D19A2">
        <w:rPr>
          <w:i/>
          <w:iCs/>
          <w:lang w:val="en-GB"/>
        </w:rPr>
        <w:t>S</w:t>
      </w:r>
      <w:r>
        <w:rPr>
          <w:i/>
          <w:iCs/>
          <w:lang w:val="en-GB"/>
        </w:rPr>
        <w:t xml:space="preserve">outh </w:t>
      </w:r>
      <w:r w:rsidRPr="003D19A2">
        <w:rPr>
          <w:i/>
          <w:iCs/>
          <w:lang w:val="en-GB"/>
        </w:rPr>
        <w:t>A</w:t>
      </w:r>
      <w:r>
        <w:rPr>
          <w:i/>
          <w:iCs/>
          <w:lang w:val="en-GB"/>
        </w:rPr>
        <w:t xml:space="preserve">frican </w:t>
      </w:r>
      <w:r w:rsidRPr="003D19A2">
        <w:rPr>
          <w:i/>
          <w:iCs/>
          <w:lang w:val="en-GB"/>
        </w:rPr>
        <w:t>L</w:t>
      </w:r>
      <w:r>
        <w:rPr>
          <w:i/>
          <w:iCs/>
          <w:lang w:val="en-GB"/>
        </w:rPr>
        <w:t xml:space="preserve">aw </w:t>
      </w:r>
      <w:r w:rsidRPr="003D19A2">
        <w:rPr>
          <w:i/>
          <w:iCs/>
          <w:lang w:val="en-GB"/>
        </w:rPr>
        <w:t>J</w:t>
      </w:r>
      <w:r>
        <w:rPr>
          <w:i/>
          <w:iCs/>
          <w:lang w:val="en-GB"/>
        </w:rPr>
        <w:t>ournal</w:t>
      </w:r>
      <w:r>
        <w:rPr>
          <w:iCs/>
          <w:lang w:val="en-GB"/>
        </w:rPr>
        <w:t xml:space="preserve"> 71,</w:t>
      </w:r>
      <w:r w:rsidRPr="003D19A2">
        <w:rPr>
          <w:lang w:val="en-GB"/>
        </w:rPr>
        <w:t xml:space="preserve"> 85; Bhana </w:t>
      </w:r>
      <w:r>
        <w:rPr>
          <w:lang w:val="en-GB"/>
        </w:rPr>
        <w:t>(note </w:t>
      </w:r>
      <w:r>
        <w:rPr>
          <w:lang w:val="en-GB"/>
        </w:rPr>
        <w:fldChar w:fldCharType="begin"/>
      </w:r>
      <w:r>
        <w:rPr>
          <w:lang w:val="en-GB"/>
        </w:rPr>
        <w:instrText xml:space="preserve"> NOTEREF _Ref517438957 \h  \* MERGEFORMAT </w:instrText>
      </w:r>
      <w:r>
        <w:rPr>
          <w:lang w:val="en-GB"/>
        </w:rPr>
      </w:r>
      <w:r>
        <w:rPr>
          <w:lang w:val="en-GB"/>
        </w:rPr>
        <w:fldChar w:fldCharType="separate"/>
      </w:r>
      <w:r w:rsidR="00F97B66">
        <w:rPr>
          <w:lang w:val="en-GB"/>
        </w:rPr>
        <w:t>26</w:t>
      </w:r>
      <w:r>
        <w:rPr>
          <w:lang w:val="en-GB"/>
        </w:rPr>
        <w:fldChar w:fldCharType="end"/>
      </w:r>
      <w:r>
        <w:rPr>
          <w:lang w:val="en-GB"/>
        </w:rPr>
        <w:t xml:space="preserve"> above) at</w:t>
      </w:r>
      <w:r w:rsidRPr="003D19A2">
        <w:rPr>
          <w:lang w:val="en-GB"/>
        </w:rPr>
        <w:t xml:space="preserve"> 274; Lubbe </w:t>
      </w:r>
      <w:r>
        <w:rPr>
          <w:bCs/>
          <w:lang w:val="en-GB"/>
        </w:rPr>
        <w:t>(note </w:t>
      </w:r>
      <w:r>
        <w:rPr>
          <w:bCs/>
          <w:lang w:val="en-GB"/>
        </w:rPr>
        <w:fldChar w:fldCharType="begin"/>
      </w:r>
      <w:r>
        <w:rPr>
          <w:bCs/>
          <w:lang w:val="en-GB"/>
        </w:rPr>
        <w:instrText xml:space="preserve"> NOTEREF _Ref520139260 \h  \* MERGEFORMAT </w:instrText>
      </w:r>
      <w:r>
        <w:rPr>
          <w:bCs/>
          <w:lang w:val="en-GB"/>
        </w:rPr>
      </w:r>
      <w:r>
        <w:rPr>
          <w:bCs/>
          <w:lang w:val="en-GB"/>
        </w:rPr>
        <w:fldChar w:fldCharType="separate"/>
      </w:r>
      <w:r w:rsidR="00F97B66">
        <w:rPr>
          <w:bCs/>
          <w:lang w:val="en-GB"/>
        </w:rPr>
        <w:t>10</w:t>
      </w:r>
      <w:r>
        <w:rPr>
          <w:bCs/>
          <w:lang w:val="en-GB"/>
        </w:rPr>
        <w:fldChar w:fldCharType="end"/>
      </w:r>
      <w:r>
        <w:rPr>
          <w:bCs/>
          <w:lang w:val="en-GB"/>
        </w:rPr>
        <w:t xml:space="preserve"> above) at</w:t>
      </w:r>
      <w:r w:rsidRPr="003D19A2">
        <w:rPr>
          <w:lang w:val="en-GB"/>
        </w:rPr>
        <w:t xml:space="preserve"> 420-421. </w:t>
      </w:r>
    </w:p>
  </w:footnote>
  <w:footnote w:id="170">
    <w:p w:rsidR="00B613DB" w:rsidRPr="002F6072" w:rsidRDefault="00B613DB" w:rsidP="002F6072">
      <w:pPr>
        <w:pStyle w:val="FootnoteText"/>
        <w:rPr>
          <w:i/>
        </w:rPr>
      </w:pPr>
      <w:r>
        <w:rPr>
          <w:rStyle w:val="FootnoteReference"/>
        </w:rPr>
        <w:footnoteRef/>
      </w:r>
      <w:r>
        <w:t xml:space="preserve"> </w:t>
      </w:r>
      <w:r w:rsidRPr="003D19A2">
        <w:rPr>
          <w:i/>
          <w:iCs/>
          <w:lang w:val="en-GB"/>
        </w:rPr>
        <w:t xml:space="preserve">Barkhuizen </w:t>
      </w:r>
      <w:r>
        <w:rPr>
          <w:iCs/>
          <w:lang w:val="en-GB"/>
        </w:rPr>
        <w:t xml:space="preserve">(note </w:t>
      </w:r>
      <w:r>
        <w:rPr>
          <w:iCs/>
          <w:lang w:val="en-GB"/>
        </w:rPr>
        <w:fldChar w:fldCharType="begin"/>
      </w:r>
      <w:r>
        <w:rPr>
          <w:iCs/>
          <w:lang w:val="en-GB"/>
        </w:rPr>
        <w:instrText xml:space="preserve"> NOTEREF _Ref520135956 \h  \* MERGEFORMAT </w:instrText>
      </w:r>
      <w:r>
        <w:rPr>
          <w:iCs/>
          <w:lang w:val="en-GB"/>
        </w:rPr>
      </w:r>
      <w:r>
        <w:rPr>
          <w:iCs/>
          <w:lang w:val="en-GB"/>
        </w:rPr>
        <w:fldChar w:fldCharType="separate"/>
      </w:r>
      <w:r w:rsidR="00F97B66">
        <w:rPr>
          <w:iCs/>
          <w:lang w:val="en-GB"/>
        </w:rPr>
        <w:t>3</w:t>
      </w:r>
      <w:r>
        <w:rPr>
          <w:iCs/>
          <w:lang w:val="en-GB"/>
        </w:rPr>
        <w:fldChar w:fldCharType="end"/>
      </w:r>
      <w:r>
        <w:rPr>
          <w:iCs/>
          <w:lang w:val="en-GB"/>
        </w:rPr>
        <w:t xml:space="preserve"> above) at</w:t>
      </w:r>
      <w:r w:rsidRPr="003D19A2">
        <w:rPr>
          <w:lang w:val="en-GB"/>
        </w:rPr>
        <w:t xml:space="preserve"> </w:t>
      </w:r>
      <w:r>
        <w:t xml:space="preserve">para 51. See further D Bhana &amp; N Broeders ‘Agreements to agree’ (2014) 77 </w:t>
      </w:r>
      <w:r w:rsidRPr="007F6A3F">
        <w:rPr>
          <w:i/>
        </w:rPr>
        <w:t>T</w:t>
      </w:r>
      <w:r>
        <w:rPr>
          <w:i/>
        </w:rPr>
        <w:t xml:space="preserve">ydskrif vir die </w:t>
      </w:r>
      <w:r w:rsidRPr="007F6A3F">
        <w:rPr>
          <w:i/>
        </w:rPr>
        <w:t>H</w:t>
      </w:r>
      <w:r>
        <w:rPr>
          <w:i/>
        </w:rPr>
        <w:t xml:space="preserve">edendaagse </w:t>
      </w:r>
      <w:r w:rsidRPr="007F6A3F">
        <w:rPr>
          <w:i/>
        </w:rPr>
        <w:t>R</w:t>
      </w:r>
      <w:r>
        <w:rPr>
          <w:i/>
        </w:rPr>
        <w:t>omeins-</w:t>
      </w:r>
      <w:r w:rsidRPr="007F6A3F">
        <w:rPr>
          <w:i/>
        </w:rPr>
        <w:t>H</w:t>
      </w:r>
      <w:r>
        <w:rPr>
          <w:i/>
        </w:rPr>
        <w:t xml:space="preserve">ollandse </w:t>
      </w:r>
      <w:r w:rsidRPr="007F6A3F">
        <w:rPr>
          <w:i/>
        </w:rPr>
        <w:t>R</w:t>
      </w:r>
      <w:r>
        <w:rPr>
          <w:i/>
        </w:rPr>
        <w:t>eg</w:t>
      </w:r>
      <w:r>
        <w:t xml:space="preserve"> 164, 175; </w:t>
      </w:r>
      <w:r w:rsidRPr="007F6A3F">
        <w:rPr>
          <w:lang w:val="en-GB"/>
        </w:rPr>
        <w:t>Cornell</w:t>
      </w:r>
      <w:r w:rsidRPr="003D19A2">
        <w:rPr>
          <w:lang w:val="en-GB"/>
        </w:rPr>
        <w:t xml:space="preserve"> and Muvangua </w:t>
      </w:r>
      <w:r>
        <w:rPr>
          <w:lang w:val="en-GB"/>
        </w:rPr>
        <w:t>(note </w:t>
      </w:r>
      <w:r>
        <w:rPr>
          <w:lang w:val="en-GB"/>
        </w:rPr>
        <w:fldChar w:fldCharType="begin"/>
      </w:r>
      <w:r>
        <w:rPr>
          <w:lang w:val="en-GB"/>
        </w:rPr>
        <w:instrText xml:space="preserve"> NOTEREF _Ref520145745 \h  \* MERGEFORMAT </w:instrText>
      </w:r>
      <w:r>
        <w:rPr>
          <w:lang w:val="en-GB"/>
        </w:rPr>
      </w:r>
      <w:r>
        <w:rPr>
          <w:lang w:val="en-GB"/>
        </w:rPr>
        <w:fldChar w:fldCharType="separate"/>
      </w:r>
      <w:r w:rsidR="00F97B66">
        <w:rPr>
          <w:lang w:val="en-GB"/>
        </w:rPr>
        <w:t>102</w:t>
      </w:r>
      <w:r>
        <w:rPr>
          <w:lang w:val="en-GB"/>
        </w:rPr>
        <w:fldChar w:fldCharType="end"/>
      </w:r>
      <w:r>
        <w:rPr>
          <w:lang w:val="en-GB"/>
        </w:rPr>
        <w:t xml:space="preserve"> above) at</w:t>
      </w:r>
      <w:r w:rsidRPr="003D19A2">
        <w:rPr>
          <w:lang w:val="en-GB"/>
        </w:rPr>
        <w:t xml:space="preserve"> 24; Hawthorne </w:t>
      </w:r>
      <w:r>
        <w:rPr>
          <w:lang w:val="en-GB"/>
        </w:rPr>
        <w:t>(note </w:t>
      </w:r>
      <w:r>
        <w:rPr>
          <w:lang w:val="en-GB"/>
        </w:rPr>
        <w:fldChar w:fldCharType="begin"/>
      </w:r>
      <w:r>
        <w:rPr>
          <w:lang w:val="en-GB"/>
        </w:rPr>
        <w:instrText xml:space="preserve"> NOTEREF _Ref482792588 \h  \* MERGEFORMAT </w:instrText>
      </w:r>
      <w:r>
        <w:rPr>
          <w:lang w:val="en-GB"/>
        </w:rPr>
      </w:r>
      <w:r>
        <w:rPr>
          <w:lang w:val="en-GB"/>
        </w:rPr>
        <w:fldChar w:fldCharType="separate"/>
      </w:r>
      <w:r w:rsidR="00F97B66">
        <w:rPr>
          <w:lang w:val="en-GB"/>
        </w:rPr>
        <w:t>169</w:t>
      </w:r>
      <w:r>
        <w:rPr>
          <w:lang w:val="en-GB"/>
        </w:rPr>
        <w:fldChar w:fldCharType="end"/>
      </w:r>
      <w:r>
        <w:rPr>
          <w:lang w:val="en-GB"/>
        </w:rPr>
        <w:t xml:space="preserve"> above) at</w:t>
      </w:r>
      <w:r w:rsidRPr="003D19A2">
        <w:rPr>
          <w:lang w:val="en-GB"/>
        </w:rPr>
        <w:t xml:space="preserve"> 400</w:t>
      </w:r>
      <w:r>
        <w:rPr>
          <w:lang w:val="en-GB"/>
        </w:rPr>
        <w:t>.</w:t>
      </w:r>
    </w:p>
  </w:footnote>
  <w:footnote w:id="171">
    <w:p w:rsidR="00B613DB" w:rsidRDefault="00B613DB" w:rsidP="002F6072">
      <w:pPr>
        <w:pStyle w:val="FootnoteText"/>
      </w:pPr>
      <w:r>
        <w:rPr>
          <w:rStyle w:val="FootnoteReference"/>
        </w:rPr>
        <w:footnoteRef/>
      </w:r>
      <w:r>
        <w:t xml:space="preserve"> </w:t>
      </w:r>
      <w:r w:rsidRPr="003D19A2">
        <w:rPr>
          <w:i/>
          <w:iCs/>
          <w:lang w:val="en-GB"/>
        </w:rPr>
        <w:t xml:space="preserve">Barkhuizen </w:t>
      </w:r>
      <w:r>
        <w:rPr>
          <w:iCs/>
          <w:lang w:val="en-GB"/>
        </w:rPr>
        <w:t xml:space="preserve">(note </w:t>
      </w:r>
      <w:r>
        <w:rPr>
          <w:iCs/>
          <w:lang w:val="en-GB"/>
        </w:rPr>
        <w:fldChar w:fldCharType="begin"/>
      </w:r>
      <w:r>
        <w:rPr>
          <w:iCs/>
          <w:lang w:val="en-GB"/>
        </w:rPr>
        <w:instrText xml:space="preserve"> NOTEREF _Ref520135956 \h  \* MERGEFORMAT </w:instrText>
      </w:r>
      <w:r>
        <w:rPr>
          <w:iCs/>
          <w:lang w:val="en-GB"/>
        </w:rPr>
      </w:r>
      <w:r>
        <w:rPr>
          <w:iCs/>
          <w:lang w:val="en-GB"/>
        </w:rPr>
        <w:fldChar w:fldCharType="separate"/>
      </w:r>
      <w:r w:rsidR="00F97B66">
        <w:rPr>
          <w:iCs/>
          <w:lang w:val="en-GB"/>
        </w:rPr>
        <w:t>3</w:t>
      </w:r>
      <w:r>
        <w:rPr>
          <w:iCs/>
          <w:lang w:val="en-GB"/>
        </w:rPr>
        <w:fldChar w:fldCharType="end"/>
      </w:r>
      <w:r>
        <w:rPr>
          <w:iCs/>
          <w:lang w:val="en-GB"/>
        </w:rPr>
        <w:t xml:space="preserve"> above) at</w:t>
      </w:r>
      <w:r w:rsidRPr="003D19A2">
        <w:rPr>
          <w:lang w:val="en-GB"/>
        </w:rPr>
        <w:t xml:space="preserve"> </w:t>
      </w:r>
      <w:r>
        <w:t>para 56.</w:t>
      </w:r>
    </w:p>
  </w:footnote>
  <w:footnote w:id="172">
    <w:p w:rsidR="00B613DB" w:rsidRDefault="00B613DB" w:rsidP="002F6072">
      <w:pPr>
        <w:pStyle w:val="FootnoteText"/>
      </w:pPr>
      <w:r>
        <w:rPr>
          <w:rStyle w:val="FootnoteReference"/>
        </w:rPr>
        <w:footnoteRef/>
      </w:r>
      <w:r>
        <w:t xml:space="preserve"> </w:t>
      </w:r>
      <w:r>
        <w:rPr>
          <w:iCs/>
          <w:lang w:val="en-GB"/>
        </w:rPr>
        <w:t>Ibid at</w:t>
      </w:r>
      <w:r>
        <w:t xml:space="preserve"> para 59. See also </w:t>
      </w:r>
      <w:r w:rsidRPr="003D19A2">
        <w:rPr>
          <w:lang w:val="en-GB"/>
        </w:rPr>
        <w:t xml:space="preserve">Wallis </w:t>
      </w:r>
      <w:r>
        <w:rPr>
          <w:lang w:val="en-GB"/>
        </w:rPr>
        <w:t>(note </w:t>
      </w:r>
      <w:r>
        <w:rPr>
          <w:lang w:val="en-GB"/>
        </w:rPr>
        <w:fldChar w:fldCharType="begin"/>
      </w:r>
      <w:r>
        <w:rPr>
          <w:lang w:val="en-GB"/>
        </w:rPr>
        <w:instrText xml:space="preserve"> NOTEREF _Ref520138209 \h  \* MERGEFORMAT </w:instrText>
      </w:r>
      <w:r>
        <w:rPr>
          <w:lang w:val="en-GB"/>
        </w:rPr>
      </w:r>
      <w:r>
        <w:rPr>
          <w:lang w:val="en-GB"/>
        </w:rPr>
        <w:fldChar w:fldCharType="separate"/>
      </w:r>
      <w:r w:rsidR="00F97B66">
        <w:rPr>
          <w:lang w:val="en-GB"/>
        </w:rPr>
        <w:t>6</w:t>
      </w:r>
      <w:r>
        <w:rPr>
          <w:lang w:val="en-GB"/>
        </w:rPr>
        <w:fldChar w:fldCharType="end"/>
      </w:r>
      <w:r>
        <w:rPr>
          <w:lang w:val="en-GB"/>
        </w:rPr>
        <w:t xml:space="preserve"> above) at</w:t>
      </w:r>
      <w:r w:rsidRPr="003D19A2">
        <w:rPr>
          <w:lang w:val="en-GB"/>
        </w:rPr>
        <w:t xml:space="preserve"> 552-553; Bhana &amp; Meerkotter </w:t>
      </w:r>
      <w:r>
        <w:rPr>
          <w:lang w:val="en-GB"/>
        </w:rPr>
        <w:t>(note </w:t>
      </w:r>
      <w:r>
        <w:rPr>
          <w:lang w:val="en-GB"/>
        </w:rPr>
        <w:fldChar w:fldCharType="begin"/>
      </w:r>
      <w:r>
        <w:rPr>
          <w:lang w:val="en-GB"/>
        </w:rPr>
        <w:instrText xml:space="preserve"> NOTEREF _Ref520138209 \h  \* MERGEFORMAT </w:instrText>
      </w:r>
      <w:r>
        <w:rPr>
          <w:lang w:val="en-GB"/>
        </w:rPr>
      </w:r>
      <w:r>
        <w:rPr>
          <w:lang w:val="en-GB"/>
        </w:rPr>
        <w:fldChar w:fldCharType="separate"/>
      </w:r>
      <w:r w:rsidR="00F97B66">
        <w:rPr>
          <w:lang w:val="en-GB"/>
        </w:rPr>
        <w:t>6</w:t>
      </w:r>
      <w:r>
        <w:rPr>
          <w:lang w:val="en-GB"/>
        </w:rPr>
        <w:fldChar w:fldCharType="end"/>
      </w:r>
      <w:r>
        <w:rPr>
          <w:lang w:val="en-GB"/>
        </w:rPr>
        <w:t xml:space="preserve"> above) at </w:t>
      </w:r>
      <w:r w:rsidRPr="003D19A2">
        <w:rPr>
          <w:lang w:val="en-GB"/>
        </w:rPr>
        <w:t xml:space="preserve">504; </w:t>
      </w:r>
      <w:r>
        <w:rPr>
          <w:lang w:val="en-GB"/>
        </w:rPr>
        <w:t xml:space="preserve">D </w:t>
      </w:r>
      <w:r w:rsidRPr="003D19A2">
        <w:rPr>
          <w:lang w:val="en-GB"/>
        </w:rPr>
        <w:t>Bhana</w:t>
      </w:r>
      <w:r>
        <w:rPr>
          <w:lang w:val="en-GB"/>
        </w:rPr>
        <w:t xml:space="preserve"> ‘Contract law and the Constitution: Bredenkamp v Standard Bank of South Africa (SCA)’</w:t>
      </w:r>
      <w:r w:rsidRPr="003D19A2">
        <w:rPr>
          <w:lang w:val="en-GB"/>
        </w:rPr>
        <w:t xml:space="preserve"> </w:t>
      </w:r>
      <w:r>
        <w:rPr>
          <w:lang w:val="en-GB"/>
        </w:rPr>
        <w:t>(</w:t>
      </w:r>
      <w:r w:rsidRPr="003D19A2">
        <w:rPr>
          <w:lang w:val="en-GB"/>
        </w:rPr>
        <w:t>2014</w:t>
      </w:r>
      <w:r>
        <w:rPr>
          <w:lang w:val="en-GB"/>
        </w:rPr>
        <w:t>) 29</w:t>
      </w:r>
      <w:r w:rsidRPr="003D19A2">
        <w:rPr>
          <w:lang w:val="en-GB"/>
        </w:rPr>
        <w:t xml:space="preserve"> </w:t>
      </w:r>
      <w:r w:rsidRPr="003D19A2">
        <w:rPr>
          <w:i/>
          <w:iCs/>
          <w:lang w:val="en-GB"/>
        </w:rPr>
        <w:t>S</w:t>
      </w:r>
      <w:r>
        <w:rPr>
          <w:i/>
          <w:iCs/>
          <w:lang w:val="en-GB"/>
        </w:rPr>
        <w:t xml:space="preserve">outh </w:t>
      </w:r>
      <w:r w:rsidRPr="003D19A2">
        <w:rPr>
          <w:i/>
          <w:iCs/>
          <w:lang w:val="en-GB"/>
        </w:rPr>
        <w:t>A</w:t>
      </w:r>
      <w:r>
        <w:rPr>
          <w:i/>
          <w:iCs/>
          <w:lang w:val="en-GB"/>
        </w:rPr>
        <w:t xml:space="preserve">frican </w:t>
      </w:r>
      <w:r w:rsidRPr="003D19A2">
        <w:rPr>
          <w:i/>
          <w:iCs/>
          <w:lang w:val="en-GB"/>
        </w:rPr>
        <w:t>P</w:t>
      </w:r>
      <w:r>
        <w:rPr>
          <w:i/>
          <w:iCs/>
          <w:lang w:val="en-GB"/>
        </w:rPr>
        <w:t xml:space="preserve">ublic </w:t>
      </w:r>
      <w:r w:rsidRPr="003D19A2">
        <w:rPr>
          <w:i/>
          <w:iCs/>
          <w:lang w:val="en-GB"/>
        </w:rPr>
        <w:t>L</w:t>
      </w:r>
      <w:r>
        <w:rPr>
          <w:i/>
          <w:iCs/>
          <w:lang w:val="en-GB"/>
        </w:rPr>
        <w:t>aw</w:t>
      </w:r>
      <w:r>
        <w:rPr>
          <w:iCs/>
          <w:lang w:val="en-GB"/>
        </w:rPr>
        <w:t xml:space="preserve"> 518,</w:t>
      </w:r>
      <w:r w:rsidRPr="003D19A2">
        <w:rPr>
          <w:lang w:val="en-GB"/>
        </w:rPr>
        <w:t> 509</w:t>
      </w:r>
      <w:r>
        <w:rPr>
          <w:lang w:val="en-GB"/>
        </w:rPr>
        <w:t>.</w:t>
      </w:r>
    </w:p>
  </w:footnote>
  <w:footnote w:id="173">
    <w:p w:rsidR="00B613DB" w:rsidRDefault="00B613DB" w:rsidP="002F6072">
      <w:pPr>
        <w:pStyle w:val="FootnoteText"/>
      </w:pPr>
      <w:r>
        <w:rPr>
          <w:rStyle w:val="FootnoteReference"/>
        </w:rPr>
        <w:footnoteRef/>
      </w:r>
      <w:r>
        <w:t xml:space="preserve"> </w:t>
      </w:r>
      <w:r>
        <w:tab/>
        <w:t>See the sources listed in n </w:t>
      </w:r>
      <w:r>
        <w:fldChar w:fldCharType="begin"/>
      </w:r>
      <w:r>
        <w:instrText xml:space="preserve"> NOTEREF _Ref520114248 \h  \* MERGEFORMAT </w:instrText>
      </w:r>
      <w:r>
        <w:fldChar w:fldCharType="separate"/>
      </w:r>
      <w:r w:rsidR="00F97B66">
        <w:t>172</w:t>
      </w:r>
      <w:r>
        <w:fldChar w:fldCharType="end"/>
      </w:r>
      <w:r>
        <w:t xml:space="preserve"> above.</w:t>
      </w:r>
    </w:p>
  </w:footnote>
  <w:footnote w:id="174">
    <w:p w:rsidR="00B613DB" w:rsidRPr="00B63134" w:rsidRDefault="00B613DB" w:rsidP="002F6072">
      <w:pPr>
        <w:pStyle w:val="FootnoteText"/>
      </w:pPr>
      <w:r>
        <w:rPr>
          <w:rStyle w:val="FootnoteReference"/>
        </w:rPr>
        <w:footnoteRef/>
      </w:r>
      <w:r>
        <w:t xml:space="preserve"> </w:t>
      </w:r>
      <w:r>
        <w:tab/>
      </w:r>
      <w:r w:rsidRPr="003D19A2">
        <w:rPr>
          <w:i/>
          <w:iCs/>
          <w:lang w:val="en-GB"/>
        </w:rPr>
        <w:t xml:space="preserve">Barkhuizen </w:t>
      </w:r>
      <w:r>
        <w:rPr>
          <w:iCs/>
          <w:lang w:val="en-GB"/>
        </w:rPr>
        <w:t xml:space="preserve">(note </w:t>
      </w:r>
      <w:r>
        <w:rPr>
          <w:iCs/>
          <w:lang w:val="en-GB"/>
        </w:rPr>
        <w:fldChar w:fldCharType="begin"/>
      </w:r>
      <w:r>
        <w:rPr>
          <w:iCs/>
          <w:lang w:val="en-GB"/>
        </w:rPr>
        <w:instrText xml:space="preserve"> NOTEREF _Ref520135956 \h  \* MERGEFORMAT </w:instrText>
      </w:r>
      <w:r>
        <w:rPr>
          <w:iCs/>
          <w:lang w:val="en-GB"/>
        </w:rPr>
      </w:r>
      <w:r>
        <w:rPr>
          <w:iCs/>
          <w:lang w:val="en-GB"/>
        </w:rPr>
        <w:fldChar w:fldCharType="separate"/>
      </w:r>
      <w:r w:rsidR="00F97B66">
        <w:rPr>
          <w:iCs/>
          <w:lang w:val="en-GB"/>
        </w:rPr>
        <w:t>3</w:t>
      </w:r>
      <w:r>
        <w:rPr>
          <w:iCs/>
          <w:lang w:val="en-GB"/>
        </w:rPr>
        <w:fldChar w:fldCharType="end"/>
      </w:r>
      <w:r>
        <w:rPr>
          <w:iCs/>
          <w:lang w:val="en-GB"/>
        </w:rPr>
        <w:t xml:space="preserve"> above) at</w:t>
      </w:r>
      <w:r w:rsidRPr="003D19A2">
        <w:rPr>
          <w:lang w:val="en-GB"/>
        </w:rPr>
        <w:t xml:space="preserve"> para 82</w:t>
      </w:r>
      <w:r>
        <w:rPr>
          <w:lang w:val="en-GB"/>
        </w:rPr>
        <w:t>.</w:t>
      </w:r>
    </w:p>
  </w:footnote>
  <w:footnote w:id="175">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sidRPr="003D19A2">
        <w:rPr>
          <w:bCs/>
          <w:i/>
          <w:iCs/>
          <w:lang w:val="en-GB"/>
        </w:rPr>
        <w:t xml:space="preserve">Bredenkamp </w:t>
      </w:r>
      <w:r>
        <w:rPr>
          <w:bCs/>
          <w:iCs/>
          <w:lang w:val="en-GB"/>
        </w:rPr>
        <w:t>(note </w:t>
      </w:r>
      <w:r>
        <w:rPr>
          <w:bCs/>
          <w:iCs/>
          <w:lang w:val="en-GB"/>
        </w:rPr>
        <w:fldChar w:fldCharType="begin"/>
      </w:r>
      <w:r>
        <w:rPr>
          <w:bCs/>
          <w:iCs/>
          <w:lang w:val="en-GB"/>
        </w:rPr>
        <w:instrText xml:space="preserve"> NOTEREF _Ref520136563 \h  \* MERGEFORMAT </w:instrText>
      </w:r>
      <w:r>
        <w:rPr>
          <w:bCs/>
          <w:iCs/>
          <w:lang w:val="en-GB"/>
        </w:rPr>
      </w:r>
      <w:r>
        <w:rPr>
          <w:bCs/>
          <w:iCs/>
          <w:lang w:val="en-GB"/>
        </w:rPr>
        <w:fldChar w:fldCharType="separate"/>
      </w:r>
      <w:r w:rsidR="00F97B66">
        <w:rPr>
          <w:bCs/>
          <w:iCs/>
          <w:lang w:val="en-GB"/>
        </w:rPr>
        <w:t>4</w:t>
      </w:r>
      <w:r>
        <w:rPr>
          <w:bCs/>
          <w:iCs/>
          <w:lang w:val="en-GB"/>
        </w:rPr>
        <w:fldChar w:fldCharType="end"/>
      </w:r>
      <w:r>
        <w:rPr>
          <w:bCs/>
          <w:iCs/>
          <w:lang w:val="en-GB"/>
        </w:rPr>
        <w:t xml:space="preserve"> above) at</w:t>
      </w:r>
      <w:r w:rsidRPr="003D19A2">
        <w:rPr>
          <w:lang w:val="en-GB"/>
        </w:rPr>
        <w:t xml:space="preserve"> para 6.</w:t>
      </w:r>
    </w:p>
  </w:footnote>
  <w:footnote w:id="176">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Pr>
          <w:bCs/>
          <w:iCs/>
          <w:lang w:val="en-GB"/>
        </w:rPr>
        <w:t>Ibid at</w:t>
      </w:r>
      <w:r w:rsidRPr="003D19A2">
        <w:rPr>
          <w:lang w:val="en-GB"/>
        </w:rPr>
        <w:t xml:space="preserve"> paras 1, 25-26.</w:t>
      </w:r>
    </w:p>
  </w:footnote>
  <w:footnote w:id="177">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t>Cf the discussion in the text at n </w:t>
      </w:r>
      <w:r>
        <w:rPr>
          <w:lang w:val="en-GB"/>
        </w:rPr>
        <w:fldChar w:fldCharType="begin"/>
      </w:r>
      <w:r>
        <w:rPr>
          <w:lang w:val="en-GB"/>
        </w:rPr>
        <w:instrText xml:space="preserve"> NOTEREF _Ref520113840 \h  \* MERGEFORMAT </w:instrText>
      </w:r>
      <w:r>
        <w:rPr>
          <w:lang w:val="en-GB"/>
        </w:rPr>
      </w:r>
      <w:r>
        <w:rPr>
          <w:lang w:val="en-GB"/>
        </w:rPr>
        <w:fldChar w:fldCharType="separate"/>
      </w:r>
      <w:r w:rsidR="00F97B66">
        <w:rPr>
          <w:lang w:val="en-GB"/>
        </w:rPr>
        <w:t>173</w:t>
      </w:r>
      <w:r>
        <w:rPr>
          <w:lang w:val="en-GB"/>
        </w:rPr>
        <w:fldChar w:fldCharType="end"/>
      </w:r>
      <w:r w:rsidRPr="003D19A2">
        <w:rPr>
          <w:lang w:val="en-GB"/>
        </w:rPr>
        <w:t xml:space="preserve"> </w:t>
      </w:r>
      <w:r w:rsidRPr="00BA014C">
        <w:rPr>
          <w:iCs/>
          <w:lang w:val="en-GB"/>
        </w:rPr>
        <w:t>above</w:t>
      </w:r>
      <w:r w:rsidRPr="003D19A2">
        <w:rPr>
          <w:lang w:val="en-GB"/>
        </w:rPr>
        <w:t>.</w:t>
      </w:r>
    </w:p>
  </w:footnote>
  <w:footnote w:id="178">
    <w:p w:rsidR="00B613DB" w:rsidRPr="003D19A2" w:rsidRDefault="00B613DB" w:rsidP="002F6072">
      <w:pPr>
        <w:pStyle w:val="FootnoteText"/>
      </w:pPr>
      <w:r w:rsidRPr="003D19A2">
        <w:rPr>
          <w:rStyle w:val="FootnoteReference"/>
        </w:rPr>
        <w:footnoteRef/>
      </w:r>
      <w:r w:rsidRPr="003D19A2">
        <w:t xml:space="preserve"> </w:t>
      </w:r>
      <w:r w:rsidRPr="003D19A2">
        <w:tab/>
      </w:r>
      <w:r w:rsidRPr="003D19A2">
        <w:rPr>
          <w:bCs/>
          <w:i/>
          <w:iCs/>
          <w:lang w:val="en-GB"/>
        </w:rPr>
        <w:t xml:space="preserve">Bredenkamp </w:t>
      </w:r>
      <w:r>
        <w:rPr>
          <w:bCs/>
          <w:iCs/>
          <w:lang w:val="en-GB"/>
        </w:rPr>
        <w:t>(note </w:t>
      </w:r>
      <w:r>
        <w:rPr>
          <w:bCs/>
          <w:iCs/>
          <w:lang w:val="en-GB"/>
        </w:rPr>
        <w:fldChar w:fldCharType="begin"/>
      </w:r>
      <w:r>
        <w:rPr>
          <w:bCs/>
          <w:iCs/>
          <w:lang w:val="en-GB"/>
        </w:rPr>
        <w:instrText xml:space="preserve"> NOTEREF _Ref520136563 \h  \* MERGEFORMAT </w:instrText>
      </w:r>
      <w:r>
        <w:rPr>
          <w:bCs/>
          <w:iCs/>
          <w:lang w:val="en-GB"/>
        </w:rPr>
      </w:r>
      <w:r>
        <w:rPr>
          <w:bCs/>
          <w:iCs/>
          <w:lang w:val="en-GB"/>
        </w:rPr>
        <w:fldChar w:fldCharType="separate"/>
      </w:r>
      <w:r w:rsidR="00F97B66">
        <w:rPr>
          <w:bCs/>
          <w:iCs/>
          <w:lang w:val="en-GB"/>
        </w:rPr>
        <w:t>4</w:t>
      </w:r>
      <w:r>
        <w:rPr>
          <w:bCs/>
          <w:iCs/>
          <w:lang w:val="en-GB"/>
        </w:rPr>
        <w:fldChar w:fldCharType="end"/>
      </w:r>
      <w:r>
        <w:rPr>
          <w:bCs/>
          <w:iCs/>
          <w:lang w:val="en-GB"/>
        </w:rPr>
        <w:t xml:space="preserve"> above) at</w:t>
      </w:r>
      <w:r w:rsidRPr="003D19A2">
        <w:t xml:space="preserve"> para 50.</w:t>
      </w:r>
    </w:p>
  </w:footnote>
  <w:footnote w:id="179">
    <w:p w:rsidR="00B613DB" w:rsidRPr="003D19A2" w:rsidRDefault="00B613DB" w:rsidP="002F6072">
      <w:pPr>
        <w:pStyle w:val="FootnoteText"/>
      </w:pPr>
      <w:r w:rsidRPr="003D19A2">
        <w:rPr>
          <w:rStyle w:val="FootnoteReference"/>
        </w:rPr>
        <w:footnoteRef/>
      </w:r>
      <w:r w:rsidRPr="003D19A2">
        <w:t xml:space="preserve"> </w:t>
      </w:r>
      <w:r w:rsidRPr="003D19A2">
        <w:tab/>
      </w:r>
      <w:r>
        <w:rPr>
          <w:bCs/>
          <w:iCs/>
          <w:lang w:val="en-GB"/>
        </w:rPr>
        <w:t>Ibid at</w:t>
      </w:r>
      <w:r w:rsidRPr="003D19A2">
        <w:t xml:space="preserve"> paras 43-44. </w:t>
      </w:r>
    </w:p>
  </w:footnote>
  <w:footnote w:id="180">
    <w:p w:rsidR="00B613DB" w:rsidRPr="007C4DD5" w:rsidRDefault="00B613DB" w:rsidP="002F6072">
      <w:pPr>
        <w:pStyle w:val="FootnoteText"/>
      </w:pPr>
      <w:r>
        <w:rPr>
          <w:rStyle w:val="FootnoteReference"/>
        </w:rPr>
        <w:footnoteRef/>
      </w:r>
      <w:r>
        <w:t xml:space="preserve"> </w:t>
      </w:r>
      <w:r>
        <w:tab/>
      </w:r>
      <w:r w:rsidRPr="00A43B78">
        <w:rPr>
          <w:bCs/>
          <w:iCs/>
          <w:lang w:val="en-GB"/>
        </w:rPr>
        <w:t>Ibid</w:t>
      </w:r>
      <w:r>
        <w:rPr>
          <w:bCs/>
          <w:iCs/>
          <w:lang w:val="en-GB"/>
        </w:rPr>
        <w:t xml:space="preserve"> at</w:t>
      </w:r>
      <w:r w:rsidRPr="003D19A2">
        <w:t xml:space="preserve"> para</w:t>
      </w:r>
      <w:r>
        <w:t xml:space="preserve"> 50.</w:t>
      </w:r>
    </w:p>
  </w:footnote>
  <w:footnote w:id="181">
    <w:p w:rsidR="00B613DB" w:rsidRDefault="00B613DB" w:rsidP="002F6072">
      <w:pPr>
        <w:pStyle w:val="FootnoteText"/>
      </w:pPr>
      <w:r>
        <w:rPr>
          <w:rStyle w:val="FootnoteReference"/>
        </w:rPr>
        <w:footnoteRef/>
      </w:r>
      <w:r>
        <w:t xml:space="preserve"> </w:t>
      </w:r>
      <w:r w:rsidRPr="00A43B78">
        <w:rPr>
          <w:bCs/>
          <w:iCs/>
          <w:lang w:val="en-GB"/>
        </w:rPr>
        <w:t>Ibid at</w:t>
      </w:r>
      <w:r w:rsidRPr="003D19A2">
        <w:rPr>
          <w:lang w:val="en-GB"/>
        </w:rPr>
        <w:t xml:space="preserve"> paras 50-53</w:t>
      </w:r>
    </w:p>
  </w:footnote>
  <w:footnote w:id="182">
    <w:p w:rsidR="00B613DB" w:rsidRPr="004B5793" w:rsidRDefault="00B613DB" w:rsidP="002F6072">
      <w:pPr>
        <w:pStyle w:val="FootnoteText"/>
      </w:pPr>
      <w:r>
        <w:rPr>
          <w:rStyle w:val="FootnoteReference"/>
        </w:rPr>
        <w:footnoteRef/>
      </w:r>
      <w:r>
        <w:t xml:space="preserve"> </w:t>
      </w:r>
      <w:r>
        <w:rPr>
          <w:bCs/>
          <w:iCs/>
          <w:lang w:val="en-GB"/>
        </w:rPr>
        <w:t>Ibid at</w:t>
      </w:r>
      <w:r w:rsidRPr="003D19A2">
        <w:rPr>
          <w:lang w:val="en-GB"/>
        </w:rPr>
        <w:t xml:space="preserve"> para 39</w:t>
      </w:r>
      <w:r>
        <w:rPr>
          <w:lang w:val="en-GB"/>
        </w:rPr>
        <w:t xml:space="preserve"> </w:t>
      </w:r>
      <w:r w:rsidRPr="004B5793">
        <w:rPr>
          <w:lang w:val="en-GB"/>
        </w:rPr>
        <w:t>referring to s 1(</w:t>
      </w:r>
      <w:r w:rsidRPr="004B5793">
        <w:rPr>
          <w:i/>
          <w:lang w:val="en-GB"/>
        </w:rPr>
        <w:t>c</w:t>
      </w:r>
      <w:r w:rsidRPr="004B5793">
        <w:rPr>
          <w:lang w:val="en-GB"/>
        </w:rPr>
        <w:t>) of the Constitution.</w:t>
      </w:r>
    </w:p>
  </w:footnote>
  <w:footnote w:id="183">
    <w:p w:rsidR="00B613DB" w:rsidRDefault="00B613DB" w:rsidP="002F6072">
      <w:pPr>
        <w:pStyle w:val="FootnoteText"/>
      </w:pPr>
      <w:r w:rsidRPr="004B5793">
        <w:rPr>
          <w:rStyle w:val="FootnoteReference"/>
        </w:rPr>
        <w:footnoteRef/>
      </w:r>
      <w:r w:rsidRPr="004B5793">
        <w:t xml:space="preserve"> </w:t>
      </w:r>
      <w:r w:rsidRPr="004B5793">
        <w:tab/>
      </w:r>
      <w:r>
        <w:t>As discussed in the text at n </w:t>
      </w:r>
      <w:r>
        <w:fldChar w:fldCharType="begin"/>
      </w:r>
      <w:r>
        <w:instrText xml:space="preserve"> NOTEREF _Ref520113903 \h  \* MERGEFORMAT </w:instrText>
      </w:r>
      <w:r>
        <w:fldChar w:fldCharType="separate"/>
      </w:r>
      <w:r w:rsidR="00F97B66">
        <w:t>111</w:t>
      </w:r>
      <w:r>
        <w:fldChar w:fldCharType="end"/>
      </w:r>
      <w:r>
        <w:t xml:space="preserve"> above.</w:t>
      </w:r>
    </w:p>
  </w:footnote>
  <w:footnote w:id="184">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sidRPr="003D19A2">
        <w:rPr>
          <w:i/>
          <w:iCs/>
          <w:lang w:val="en-GB"/>
        </w:rPr>
        <w:t xml:space="preserve">Botha </w:t>
      </w:r>
      <w:r>
        <w:rPr>
          <w:iCs/>
          <w:lang w:val="en-GB"/>
        </w:rPr>
        <w:t>(note </w:t>
      </w:r>
      <w:r>
        <w:rPr>
          <w:iCs/>
          <w:lang w:val="en-GB"/>
        </w:rPr>
        <w:fldChar w:fldCharType="begin"/>
      </w:r>
      <w:r>
        <w:rPr>
          <w:iCs/>
          <w:lang w:val="en-GB"/>
        </w:rPr>
        <w:instrText xml:space="preserve"> NOTEREF _Ref520136785 \h  \* MERGEFORMAT </w:instrText>
      </w:r>
      <w:r>
        <w:rPr>
          <w:iCs/>
          <w:lang w:val="en-GB"/>
        </w:rPr>
      </w:r>
      <w:r>
        <w:rPr>
          <w:iCs/>
          <w:lang w:val="en-GB"/>
        </w:rPr>
        <w:fldChar w:fldCharType="separate"/>
      </w:r>
      <w:r w:rsidR="00F97B66">
        <w:rPr>
          <w:iCs/>
          <w:lang w:val="en-GB"/>
        </w:rPr>
        <w:t>5</w:t>
      </w:r>
      <w:r>
        <w:rPr>
          <w:iCs/>
          <w:lang w:val="en-GB"/>
        </w:rPr>
        <w:fldChar w:fldCharType="end"/>
      </w:r>
      <w:r>
        <w:rPr>
          <w:iCs/>
          <w:lang w:val="en-GB"/>
        </w:rPr>
        <w:t xml:space="preserve"> above) at </w:t>
      </w:r>
      <w:r w:rsidRPr="003D19A2">
        <w:rPr>
          <w:lang w:val="en-GB"/>
        </w:rPr>
        <w:t>para 4.</w:t>
      </w:r>
    </w:p>
  </w:footnote>
  <w:footnote w:id="185">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Pr>
          <w:iCs/>
          <w:lang w:val="en-GB"/>
        </w:rPr>
        <w:t xml:space="preserve">Ibid at </w:t>
      </w:r>
      <w:r w:rsidRPr="003D19A2">
        <w:rPr>
          <w:lang w:val="en-GB"/>
        </w:rPr>
        <w:t>paras 5-6.</w:t>
      </w:r>
    </w:p>
  </w:footnote>
  <w:footnote w:id="186">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Pr>
          <w:iCs/>
          <w:lang w:val="en-GB"/>
        </w:rPr>
        <w:t>Ibid at</w:t>
      </w:r>
      <w:r w:rsidRPr="003D19A2">
        <w:rPr>
          <w:lang w:val="en-GB"/>
        </w:rPr>
        <w:t xml:space="preserve"> para 8.</w:t>
      </w:r>
    </w:p>
  </w:footnote>
  <w:footnote w:id="187">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sidRPr="00A43B78">
        <w:rPr>
          <w:iCs/>
          <w:lang w:val="en-GB"/>
        </w:rPr>
        <w:t>Ibid</w:t>
      </w:r>
      <w:r>
        <w:rPr>
          <w:iCs/>
          <w:lang w:val="en-GB"/>
        </w:rPr>
        <w:t xml:space="preserve"> at</w:t>
      </w:r>
      <w:r w:rsidRPr="003D19A2">
        <w:rPr>
          <w:lang w:val="en-GB"/>
        </w:rPr>
        <w:t xml:space="preserve"> para 19.</w:t>
      </w:r>
    </w:p>
  </w:footnote>
  <w:footnote w:id="188">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Pr>
          <w:iCs/>
          <w:lang w:val="en-GB"/>
        </w:rPr>
        <w:t>Ibid at</w:t>
      </w:r>
      <w:r w:rsidRPr="003D19A2">
        <w:rPr>
          <w:lang w:val="en-GB"/>
        </w:rPr>
        <w:t xml:space="preserve"> para 23.</w:t>
      </w:r>
    </w:p>
  </w:footnote>
  <w:footnote w:id="189">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Pr>
          <w:iCs/>
          <w:lang w:val="en-GB"/>
        </w:rPr>
        <w:t>Ibid at</w:t>
      </w:r>
      <w:r w:rsidRPr="003D19A2">
        <w:rPr>
          <w:lang w:val="en-GB"/>
        </w:rPr>
        <w:t xml:space="preserve"> para 19.</w:t>
      </w:r>
    </w:p>
  </w:footnote>
  <w:footnote w:id="190">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Pr>
          <w:lang w:val="en-GB"/>
        </w:rPr>
        <w:t xml:space="preserve">Ibid </w:t>
      </w:r>
      <w:r>
        <w:rPr>
          <w:iCs/>
          <w:lang w:val="en-GB"/>
        </w:rPr>
        <w:t>at</w:t>
      </w:r>
      <w:r w:rsidRPr="003D19A2">
        <w:rPr>
          <w:lang w:val="en-GB"/>
        </w:rPr>
        <w:t xml:space="preserve"> </w:t>
      </w:r>
      <w:r>
        <w:rPr>
          <w:lang w:val="en-GB"/>
        </w:rPr>
        <w:t>para 15</w:t>
      </w:r>
      <w:r w:rsidRPr="003D19A2">
        <w:rPr>
          <w:lang w:val="en-GB"/>
        </w:rPr>
        <w:t xml:space="preserve">. </w:t>
      </w:r>
    </w:p>
  </w:footnote>
  <w:footnote w:id="191">
    <w:p w:rsidR="00B613DB" w:rsidRPr="00F422C7" w:rsidRDefault="00B613DB" w:rsidP="002F6072">
      <w:pPr>
        <w:pStyle w:val="FootnoteText"/>
      </w:pPr>
      <w:r>
        <w:rPr>
          <w:rStyle w:val="FootnoteReference"/>
        </w:rPr>
        <w:footnoteRef/>
      </w:r>
      <w:r>
        <w:t xml:space="preserve"> </w:t>
      </w:r>
      <w:r>
        <w:tab/>
        <w:t xml:space="preserve">The idea of substantive equality as linked to human dignity and equality can be identified in para 28 </w:t>
      </w:r>
      <w:r w:rsidRPr="004B5793">
        <w:t>of the Court’s judgment.</w:t>
      </w:r>
    </w:p>
  </w:footnote>
  <w:footnote w:id="192">
    <w:p w:rsidR="00B613DB" w:rsidRPr="003D19A2" w:rsidRDefault="00B613DB" w:rsidP="002F6072">
      <w:pPr>
        <w:pStyle w:val="FootnoteText"/>
        <w:rPr>
          <w:b/>
          <w:bCs/>
          <w:lang w:val="en-GB"/>
        </w:rPr>
      </w:pPr>
      <w:r w:rsidRPr="003D19A2">
        <w:rPr>
          <w:rStyle w:val="FootnoteReference"/>
          <w:lang w:val="en-GB"/>
        </w:rPr>
        <w:footnoteRef/>
      </w:r>
      <w:r w:rsidRPr="003D19A2">
        <w:rPr>
          <w:lang w:val="en-GB"/>
        </w:rPr>
        <w:t xml:space="preserve"> </w:t>
      </w:r>
      <w:r w:rsidRPr="003D19A2">
        <w:rPr>
          <w:lang w:val="en-GB"/>
        </w:rPr>
        <w:tab/>
      </w:r>
      <w:r w:rsidRPr="003D19A2">
        <w:rPr>
          <w:i/>
          <w:iCs/>
          <w:lang w:val="en-GB"/>
        </w:rPr>
        <w:t xml:space="preserve">Botha </w:t>
      </w:r>
      <w:r>
        <w:rPr>
          <w:iCs/>
          <w:lang w:val="en-GB"/>
        </w:rPr>
        <w:t>(note </w:t>
      </w:r>
      <w:r>
        <w:rPr>
          <w:iCs/>
          <w:lang w:val="en-GB"/>
        </w:rPr>
        <w:fldChar w:fldCharType="begin"/>
      </w:r>
      <w:r>
        <w:rPr>
          <w:iCs/>
          <w:lang w:val="en-GB"/>
        </w:rPr>
        <w:instrText xml:space="preserve"> NOTEREF _Ref520136785 \h  \* MERGEFORMAT </w:instrText>
      </w:r>
      <w:r>
        <w:rPr>
          <w:iCs/>
          <w:lang w:val="en-GB"/>
        </w:rPr>
      </w:r>
      <w:r>
        <w:rPr>
          <w:iCs/>
          <w:lang w:val="en-GB"/>
        </w:rPr>
        <w:fldChar w:fldCharType="separate"/>
      </w:r>
      <w:r w:rsidR="00F97B66">
        <w:rPr>
          <w:iCs/>
          <w:lang w:val="en-GB"/>
        </w:rPr>
        <w:t>5</w:t>
      </w:r>
      <w:r>
        <w:rPr>
          <w:iCs/>
          <w:lang w:val="en-GB"/>
        </w:rPr>
        <w:fldChar w:fldCharType="end"/>
      </w:r>
      <w:r>
        <w:rPr>
          <w:iCs/>
          <w:lang w:val="en-GB"/>
        </w:rPr>
        <w:t xml:space="preserve"> above) at</w:t>
      </w:r>
      <w:r w:rsidRPr="003D19A2">
        <w:rPr>
          <w:lang w:val="en-GB"/>
        </w:rPr>
        <w:t xml:space="preserve"> para 46. </w:t>
      </w:r>
      <w:r w:rsidRPr="004B5793">
        <w:t xml:space="preserve">Cf the discussion in the text </w:t>
      </w:r>
      <w:r>
        <w:t xml:space="preserve">n </w:t>
      </w:r>
      <w:r>
        <w:fldChar w:fldCharType="begin"/>
      </w:r>
      <w:r>
        <w:instrText xml:space="preserve"> NOTEREF _Ref520114124 \h  \* MERGEFORMAT </w:instrText>
      </w:r>
      <w:r>
        <w:fldChar w:fldCharType="separate"/>
      </w:r>
      <w:r w:rsidR="00F97B66">
        <w:t>135</w:t>
      </w:r>
      <w:r>
        <w:fldChar w:fldCharType="end"/>
      </w:r>
      <w:r w:rsidRPr="004B5793">
        <w:t xml:space="preserve"> above </w:t>
      </w:r>
      <w:r>
        <w:t xml:space="preserve">which deals </w:t>
      </w:r>
      <w:r w:rsidRPr="004B5793">
        <w:t xml:space="preserve">Lubbe’s postulation on how human dignity can be </w:t>
      </w:r>
      <w:proofErr w:type="spellStart"/>
      <w:r w:rsidRPr="004B5793">
        <w:t>co</w:t>
      </w:r>
      <w:r>
        <w:t>nceptualised</w:t>
      </w:r>
      <w:proofErr w:type="spellEnd"/>
      <w:r>
        <w:t xml:space="preserve"> through good faith</w:t>
      </w:r>
      <w:r w:rsidRPr="004B5793">
        <w:t>.</w:t>
      </w:r>
    </w:p>
  </w:footnote>
  <w:footnote w:id="193">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t>The court specifically speaks of the “fairness of awarding cancellation” (</w:t>
      </w:r>
      <w:r w:rsidRPr="003D19A2">
        <w:rPr>
          <w:i/>
          <w:iCs/>
          <w:lang w:val="en-GB"/>
        </w:rPr>
        <w:t xml:space="preserve">Botha </w:t>
      </w:r>
      <w:r>
        <w:rPr>
          <w:iCs/>
          <w:lang w:val="en-GB"/>
        </w:rPr>
        <w:t>(note </w:t>
      </w:r>
      <w:r>
        <w:rPr>
          <w:iCs/>
          <w:lang w:val="en-GB"/>
        </w:rPr>
        <w:fldChar w:fldCharType="begin"/>
      </w:r>
      <w:r>
        <w:rPr>
          <w:iCs/>
          <w:lang w:val="en-GB"/>
        </w:rPr>
        <w:instrText xml:space="preserve"> NOTEREF _Ref520136785 \h  \* MERGEFORMAT </w:instrText>
      </w:r>
      <w:r>
        <w:rPr>
          <w:iCs/>
          <w:lang w:val="en-GB"/>
        </w:rPr>
      </w:r>
      <w:r>
        <w:rPr>
          <w:iCs/>
          <w:lang w:val="en-GB"/>
        </w:rPr>
        <w:fldChar w:fldCharType="separate"/>
      </w:r>
      <w:r w:rsidR="00F97B66">
        <w:rPr>
          <w:iCs/>
          <w:lang w:val="en-GB"/>
        </w:rPr>
        <w:t>5</w:t>
      </w:r>
      <w:r>
        <w:rPr>
          <w:iCs/>
          <w:lang w:val="en-GB"/>
        </w:rPr>
        <w:fldChar w:fldCharType="end"/>
      </w:r>
      <w:r>
        <w:rPr>
          <w:iCs/>
          <w:lang w:val="en-GB"/>
        </w:rPr>
        <w:t xml:space="preserve"> above) at</w:t>
      </w:r>
      <w:r w:rsidRPr="003D19A2">
        <w:rPr>
          <w:lang w:val="en-GB"/>
        </w:rPr>
        <w:t xml:space="preserve"> para 51).</w:t>
      </w:r>
    </w:p>
  </w:footnote>
  <w:footnote w:id="194">
    <w:p w:rsidR="00B613DB" w:rsidRPr="003D19A2" w:rsidRDefault="00B613DB" w:rsidP="002F6072">
      <w:pPr>
        <w:pStyle w:val="FootnoteText"/>
        <w:rPr>
          <w:lang w:val="en-GB"/>
        </w:rPr>
      </w:pPr>
      <w:r w:rsidRPr="003D19A2">
        <w:rPr>
          <w:rStyle w:val="FootnoteReference"/>
          <w:lang w:val="en-GB"/>
        </w:rPr>
        <w:footnoteRef/>
      </w:r>
      <w:r w:rsidRPr="003D19A2">
        <w:rPr>
          <w:lang w:val="en-GB"/>
        </w:rPr>
        <w:t xml:space="preserve"> </w:t>
      </w:r>
      <w:r w:rsidRPr="003D19A2">
        <w:rPr>
          <w:lang w:val="en-GB"/>
        </w:rPr>
        <w:tab/>
      </w:r>
      <w:r>
        <w:rPr>
          <w:iCs/>
          <w:lang w:val="en-GB"/>
        </w:rPr>
        <w:t>Ibid</w:t>
      </w:r>
      <w:r w:rsidRPr="003D19A2">
        <w:rPr>
          <w:lang w:val="en-GB"/>
        </w:rPr>
        <w:t>.</w:t>
      </w:r>
    </w:p>
  </w:footnote>
  <w:footnote w:id="195">
    <w:p w:rsidR="00B613DB" w:rsidRPr="003D19A2" w:rsidRDefault="00B613DB" w:rsidP="002F6072">
      <w:pPr>
        <w:pStyle w:val="FootnoteText"/>
      </w:pPr>
      <w:r w:rsidRPr="003D19A2">
        <w:rPr>
          <w:rStyle w:val="FootnoteReference"/>
        </w:rPr>
        <w:footnoteRef/>
      </w:r>
      <w:r w:rsidRPr="003D19A2">
        <w:t xml:space="preserve"> </w:t>
      </w:r>
      <w:r w:rsidRPr="003D19A2">
        <w:tab/>
      </w:r>
      <w:r>
        <w:rPr>
          <w:iCs/>
        </w:rPr>
        <w:t>Ibid at</w:t>
      </w:r>
      <w:r w:rsidRPr="003D19A2">
        <w:t xml:space="preserve"> para 46 where the court speaks of the “reciprocal recognition of the dignity … of the respective contracting parties”. </w:t>
      </w:r>
    </w:p>
  </w:footnote>
  <w:footnote w:id="196">
    <w:p w:rsidR="00B613DB" w:rsidRPr="003D19A2" w:rsidRDefault="00B613DB" w:rsidP="002F6072">
      <w:pPr>
        <w:pStyle w:val="FootnoteText"/>
      </w:pPr>
      <w:r w:rsidRPr="003D19A2">
        <w:rPr>
          <w:rStyle w:val="FootnoteReference"/>
        </w:rPr>
        <w:footnoteRef/>
      </w:r>
      <w:r w:rsidRPr="003D19A2">
        <w:t xml:space="preserve"> </w:t>
      </w:r>
      <w:r w:rsidRPr="003D19A2">
        <w:tab/>
        <w:t xml:space="preserve">Cf the discussions in the text at n </w:t>
      </w:r>
      <w:r>
        <w:fldChar w:fldCharType="begin"/>
      </w:r>
      <w:r>
        <w:instrText xml:space="preserve"> NOTEREF _Ref520114248 \h  \* MERGEFORMAT </w:instrText>
      </w:r>
      <w:r>
        <w:fldChar w:fldCharType="separate"/>
      </w:r>
      <w:r w:rsidR="00F97B66">
        <w:t>172</w:t>
      </w:r>
      <w:r>
        <w:fldChar w:fldCharType="end"/>
      </w:r>
      <w:r>
        <w:t xml:space="preserve"> &amp; </w:t>
      </w:r>
      <w:r>
        <w:fldChar w:fldCharType="begin"/>
      </w:r>
      <w:r>
        <w:instrText xml:space="preserve"> NOTEREF _Ref520114226 \h  \* MERGEFORMAT </w:instrText>
      </w:r>
      <w:r>
        <w:fldChar w:fldCharType="separate"/>
      </w:r>
      <w:r w:rsidR="00F97B66">
        <w:t>175</w:t>
      </w:r>
      <w:r>
        <w:fldChar w:fldCharType="end"/>
      </w:r>
      <w:r>
        <w:t xml:space="preserve"> </w:t>
      </w:r>
      <w:r w:rsidRPr="00C52424">
        <w:rPr>
          <w:iCs/>
        </w:rPr>
        <w:t>above</w:t>
      </w:r>
      <w:r w:rsidRPr="003D19A2">
        <w:t>.</w:t>
      </w:r>
    </w:p>
  </w:footnote>
  <w:footnote w:id="197">
    <w:p w:rsidR="00B613DB" w:rsidRPr="003D19A2" w:rsidRDefault="00B613DB" w:rsidP="002F6072">
      <w:pPr>
        <w:pStyle w:val="FootnoteText"/>
      </w:pPr>
      <w:r w:rsidRPr="003D19A2">
        <w:rPr>
          <w:rStyle w:val="FootnoteReference"/>
        </w:rPr>
        <w:footnoteRef/>
      </w:r>
      <w:r w:rsidRPr="003D19A2">
        <w:t xml:space="preserve"> </w:t>
      </w:r>
      <w:r w:rsidRPr="003D19A2">
        <w:tab/>
        <w:t xml:space="preserve">Hawthorne </w:t>
      </w:r>
      <w:r>
        <w:t>(note </w:t>
      </w:r>
      <w:r>
        <w:fldChar w:fldCharType="begin"/>
      </w:r>
      <w:r>
        <w:instrText xml:space="preserve"> NOTEREF _Ref520138209 \h  \* MERGEFORMAT </w:instrText>
      </w:r>
      <w:r>
        <w:fldChar w:fldCharType="separate"/>
      </w:r>
      <w:r w:rsidR="00F97B66">
        <w:t>6</w:t>
      </w:r>
      <w:r>
        <w:fldChar w:fldCharType="end"/>
      </w:r>
      <w:r>
        <w:t xml:space="preserve"> above) at</w:t>
      </w:r>
      <w:r w:rsidRPr="003D19A2">
        <w:t xml:space="preserve"> 299.</w:t>
      </w:r>
      <w:r>
        <w:tab/>
      </w:r>
    </w:p>
  </w:footnote>
  <w:footnote w:id="198">
    <w:p w:rsidR="00B613DB" w:rsidRPr="003D19A2" w:rsidRDefault="00B613DB" w:rsidP="002F6072">
      <w:pPr>
        <w:pStyle w:val="FootnoteText"/>
      </w:pPr>
      <w:r w:rsidRPr="003D19A2">
        <w:rPr>
          <w:rStyle w:val="FootnoteReference"/>
        </w:rPr>
        <w:footnoteRef/>
      </w:r>
      <w:r w:rsidRPr="003D19A2">
        <w:t xml:space="preserve"> </w:t>
      </w:r>
      <w:r w:rsidRPr="003D19A2">
        <w:tab/>
      </w:r>
      <w:r w:rsidRPr="003D19A2">
        <w:rPr>
          <w:i/>
          <w:iCs/>
        </w:rPr>
        <w:t xml:space="preserve">Botha </w:t>
      </w:r>
      <w:r>
        <w:rPr>
          <w:iCs/>
        </w:rPr>
        <w:t>(note </w:t>
      </w:r>
      <w:r>
        <w:rPr>
          <w:iCs/>
        </w:rPr>
        <w:fldChar w:fldCharType="begin"/>
      </w:r>
      <w:r>
        <w:rPr>
          <w:iCs/>
        </w:rPr>
        <w:instrText xml:space="preserve"> NOTEREF _Ref520136785 \h  \* MERGEFORMAT </w:instrText>
      </w:r>
      <w:r>
        <w:rPr>
          <w:iCs/>
        </w:rPr>
      </w:r>
      <w:r>
        <w:rPr>
          <w:iCs/>
        </w:rPr>
        <w:fldChar w:fldCharType="separate"/>
      </w:r>
      <w:r w:rsidR="00F97B66">
        <w:rPr>
          <w:iCs/>
        </w:rPr>
        <w:t>5</w:t>
      </w:r>
      <w:r>
        <w:rPr>
          <w:iCs/>
        </w:rPr>
        <w:fldChar w:fldCharType="end"/>
      </w:r>
      <w:r>
        <w:rPr>
          <w:iCs/>
        </w:rPr>
        <w:t xml:space="preserve"> above) at </w:t>
      </w:r>
      <w:r w:rsidRPr="003D19A2">
        <w:t>para 3.</w:t>
      </w:r>
    </w:p>
  </w:footnote>
  <w:footnote w:id="199">
    <w:p w:rsidR="00B613DB" w:rsidRPr="003D19A2" w:rsidRDefault="00B613DB" w:rsidP="002F6072">
      <w:pPr>
        <w:pStyle w:val="FootnoteText"/>
      </w:pPr>
      <w:r w:rsidRPr="003D19A2">
        <w:rPr>
          <w:rStyle w:val="FootnoteReference"/>
        </w:rPr>
        <w:footnoteRef/>
      </w:r>
      <w:r w:rsidRPr="003D19A2">
        <w:t xml:space="preserve"> </w:t>
      </w:r>
      <w:r w:rsidRPr="003D19A2">
        <w:tab/>
        <w:t>The relevance of these factors are evidenced by Bhana &amp; Meerkotter’s contention that the facts of the case could have implicated the right to property (s 25) &amp; the right to freedom of trade, oc</w:t>
      </w:r>
      <w:r>
        <w:t>cupation and profession (s </w:t>
      </w:r>
      <w:r w:rsidRPr="003D19A2">
        <w:t xml:space="preserve">22) (see Bhana &amp; Meerkotter </w:t>
      </w:r>
      <w:r>
        <w:t>(note </w:t>
      </w:r>
      <w:r>
        <w:fldChar w:fldCharType="begin"/>
      </w:r>
      <w:r>
        <w:instrText xml:space="preserve"> NOTEREF _Ref520138209 \h  \* MERGEFORMAT </w:instrText>
      </w:r>
      <w:r>
        <w:fldChar w:fldCharType="separate"/>
      </w:r>
      <w:r w:rsidR="00F97B66">
        <w:t>6</w:t>
      </w:r>
      <w:r>
        <w:fldChar w:fldCharType="end"/>
      </w:r>
      <w:r>
        <w:t> above) at</w:t>
      </w:r>
      <w:r w:rsidRPr="003D19A2">
        <w:rPr>
          <w:i/>
          <w:iCs/>
        </w:rPr>
        <w:t xml:space="preserve"> </w:t>
      </w:r>
      <w:r w:rsidRPr="003D19A2">
        <w:t>505).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CB0446B"/>
    <w:multiLevelType w:val="hybridMultilevel"/>
    <w:tmpl w:val="54A82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4A1AD0"/>
    <w:multiLevelType w:val="hybridMultilevel"/>
    <w:tmpl w:val="A0F09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20"/>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2"/>
  </w:num>
  <w:num w:numId="15">
    <w:abstractNumId w:val="14"/>
  </w:num>
  <w:num w:numId="16">
    <w:abstractNumId w:val="16"/>
  </w:num>
  <w:num w:numId="17">
    <w:abstractNumId w:val="11"/>
  </w:num>
  <w:num w:numId="18">
    <w:abstractNumId w:val="0"/>
  </w:num>
  <w:num w:numId="19">
    <w:abstractNumId w:val="12"/>
  </w:num>
  <w:num w:numId="20">
    <w:abstractNumId w:val="22"/>
  </w:num>
  <w:num w:numId="21">
    <w:abstractNumId w:val="22"/>
  </w:num>
  <w:num w:numId="22">
    <w:abstractNumId w:val="22"/>
  </w:num>
  <w:num w:numId="23">
    <w:abstractNumId w:val="22"/>
  </w:num>
  <w:num w:numId="24">
    <w:abstractNumId w:val="17"/>
  </w:num>
  <w:num w:numId="25">
    <w:abstractNumId w:val="18"/>
  </w:num>
  <w:num w:numId="26">
    <w:abstractNumId w:val="23"/>
  </w:num>
  <w:num w:numId="27">
    <w:abstractNumId w:val="24"/>
  </w:num>
  <w:num w:numId="28">
    <w:abstractNumId w:val="22"/>
  </w:num>
  <w:num w:numId="29">
    <w:abstractNumId w:val="13"/>
  </w:num>
  <w:num w:numId="30">
    <w:abstractNumId w:val="25"/>
  </w:num>
  <w:num w:numId="31">
    <w:abstractNumId w:val="19"/>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FF"/>
    <w:rsid w:val="00001899"/>
    <w:rsid w:val="00003D0F"/>
    <w:rsid w:val="000049AD"/>
    <w:rsid w:val="00005187"/>
    <w:rsid w:val="0000681B"/>
    <w:rsid w:val="000133C0"/>
    <w:rsid w:val="00014C4E"/>
    <w:rsid w:val="00017107"/>
    <w:rsid w:val="000202E2"/>
    <w:rsid w:val="00022441"/>
    <w:rsid w:val="0002261E"/>
    <w:rsid w:val="0002334B"/>
    <w:rsid w:val="00024839"/>
    <w:rsid w:val="00026871"/>
    <w:rsid w:val="0003721C"/>
    <w:rsid w:val="00037A98"/>
    <w:rsid w:val="0004277B"/>
    <w:rsid w:val="000427FB"/>
    <w:rsid w:val="000428FC"/>
    <w:rsid w:val="000435F4"/>
    <w:rsid w:val="0004455E"/>
    <w:rsid w:val="00045888"/>
    <w:rsid w:val="0004682A"/>
    <w:rsid w:val="00047CB5"/>
    <w:rsid w:val="00051FAA"/>
    <w:rsid w:val="000557BD"/>
    <w:rsid w:val="000572A9"/>
    <w:rsid w:val="00061325"/>
    <w:rsid w:val="00061A69"/>
    <w:rsid w:val="000672B4"/>
    <w:rsid w:val="00067B17"/>
    <w:rsid w:val="000733AC"/>
    <w:rsid w:val="00074B81"/>
    <w:rsid w:val="00074D22"/>
    <w:rsid w:val="00075081"/>
    <w:rsid w:val="0007528A"/>
    <w:rsid w:val="000811AB"/>
    <w:rsid w:val="00082763"/>
    <w:rsid w:val="00083C5F"/>
    <w:rsid w:val="0009172C"/>
    <w:rsid w:val="000930EC"/>
    <w:rsid w:val="00095E61"/>
    <w:rsid w:val="000966C1"/>
    <w:rsid w:val="000970AC"/>
    <w:rsid w:val="000A1167"/>
    <w:rsid w:val="000A21EF"/>
    <w:rsid w:val="000A39D3"/>
    <w:rsid w:val="000A4428"/>
    <w:rsid w:val="000A6CA3"/>
    <w:rsid w:val="000A6D40"/>
    <w:rsid w:val="000A7BC3"/>
    <w:rsid w:val="000A7FA9"/>
    <w:rsid w:val="000B01EA"/>
    <w:rsid w:val="000B1661"/>
    <w:rsid w:val="000B1F0B"/>
    <w:rsid w:val="000B2E88"/>
    <w:rsid w:val="000B406D"/>
    <w:rsid w:val="000B4603"/>
    <w:rsid w:val="000B4663"/>
    <w:rsid w:val="000C09BE"/>
    <w:rsid w:val="000C1380"/>
    <w:rsid w:val="000C554F"/>
    <w:rsid w:val="000C6ACC"/>
    <w:rsid w:val="000D0DC5"/>
    <w:rsid w:val="000D15FF"/>
    <w:rsid w:val="000D28DF"/>
    <w:rsid w:val="000D488B"/>
    <w:rsid w:val="000D68DF"/>
    <w:rsid w:val="000D6935"/>
    <w:rsid w:val="000D7813"/>
    <w:rsid w:val="000E138D"/>
    <w:rsid w:val="000E187A"/>
    <w:rsid w:val="000E2D61"/>
    <w:rsid w:val="000E450E"/>
    <w:rsid w:val="000E6259"/>
    <w:rsid w:val="000F1DE1"/>
    <w:rsid w:val="000F4677"/>
    <w:rsid w:val="000F499A"/>
    <w:rsid w:val="000F5BE0"/>
    <w:rsid w:val="00100587"/>
    <w:rsid w:val="0010284E"/>
    <w:rsid w:val="00103122"/>
    <w:rsid w:val="0010336A"/>
    <w:rsid w:val="001050F1"/>
    <w:rsid w:val="00105AEA"/>
    <w:rsid w:val="001067B5"/>
    <w:rsid w:val="00106DAF"/>
    <w:rsid w:val="00114ABE"/>
    <w:rsid w:val="00114DDC"/>
    <w:rsid w:val="00116023"/>
    <w:rsid w:val="00127BAE"/>
    <w:rsid w:val="00134A51"/>
    <w:rsid w:val="00135E63"/>
    <w:rsid w:val="00140727"/>
    <w:rsid w:val="0014165E"/>
    <w:rsid w:val="00147273"/>
    <w:rsid w:val="00160628"/>
    <w:rsid w:val="00160B83"/>
    <w:rsid w:val="00161344"/>
    <w:rsid w:val="00162195"/>
    <w:rsid w:val="00162F61"/>
    <w:rsid w:val="0016322A"/>
    <w:rsid w:val="0016467B"/>
    <w:rsid w:val="00164A13"/>
    <w:rsid w:val="00165A21"/>
    <w:rsid w:val="001705CE"/>
    <w:rsid w:val="001759D7"/>
    <w:rsid w:val="0017714B"/>
    <w:rsid w:val="00177A68"/>
    <w:rsid w:val="001804DF"/>
    <w:rsid w:val="00181BDC"/>
    <w:rsid w:val="00181DB0"/>
    <w:rsid w:val="001829E3"/>
    <w:rsid w:val="00187025"/>
    <w:rsid w:val="001924C0"/>
    <w:rsid w:val="0019731E"/>
    <w:rsid w:val="001A09FE"/>
    <w:rsid w:val="001A149F"/>
    <w:rsid w:val="001A19D3"/>
    <w:rsid w:val="001A4460"/>
    <w:rsid w:val="001A4E8D"/>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D0BDB"/>
    <w:rsid w:val="001D2FDA"/>
    <w:rsid w:val="001D606D"/>
    <w:rsid w:val="001D647F"/>
    <w:rsid w:val="001D6857"/>
    <w:rsid w:val="001E01B2"/>
    <w:rsid w:val="001E0572"/>
    <w:rsid w:val="001E0A67"/>
    <w:rsid w:val="001E1028"/>
    <w:rsid w:val="001E1327"/>
    <w:rsid w:val="001E14E2"/>
    <w:rsid w:val="001E59FE"/>
    <w:rsid w:val="001E6302"/>
    <w:rsid w:val="001E6A11"/>
    <w:rsid w:val="001E7DCB"/>
    <w:rsid w:val="001E7F76"/>
    <w:rsid w:val="001F14FB"/>
    <w:rsid w:val="001F2F56"/>
    <w:rsid w:val="001F3411"/>
    <w:rsid w:val="001F3C25"/>
    <w:rsid w:val="001F4287"/>
    <w:rsid w:val="001F4DBA"/>
    <w:rsid w:val="0020415E"/>
    <w:rsid w:val="00204FF4"/>
    <w:rsid w:val="002071CF"/>
    <w:rsid w:val="0021056E"/>
    <w:rsid w:val="0021075D"/>
    <w:rsid w:val="0021082B"/>
    <w:rsid w:val="0021165A"/>
    <w:rsid w:val="00211BC9"/>
    <w:rsid w:val="00212504"/>
    <w:rsid w:val="00215DA3"/>
    <w:rsid w:val="0021620C"/>
    <w:rsid w:val="00216E78"/>
    <w:rsid w:val="00217275"/>
    <w:rsid w:val="002211DD"/>
    <w:rsid w:val="002213E5"/>
    <w:rsid w:val="002214D9"/>
    <w:rsid w:val="00236F4B"/>
    <w:rsid w:val="0023702D"/>
    <w:rsid w:val="002371C8"/>
    <w:rsid w:val="00242B0D"/>
    <w:rsid w:val="00243BAC"/>
    <w:rsid w:val="002467C6"/>
    <w:rsid w:val="0024692A"/>
    <w:rsid w:val="00250761"/>
    <w:rsid w:val="00252BBA"/>
    <w:rsid w:val="00252BCC"/>
    <w:rsid w:val="00253123"/>
    <w:rsid w:val="00262D28"/>
    <w:rsid w:val="00264001"/>
    <w:rsid w:val="00266354"/>
    <w:rsid w:val="00267A18"/>
    <w:rsid w:val="00273462"/>
    <w:rsid w:val="0027395B"/>
    <w:rsid w:val="00275854"/>
    <w:rsid w:val="00283B41"/>
    <w:rsid w:val="00285F28"/>
    <w:rsid w:val="00286398"/>
    <w:rsid w:val="00287D5B"/>
    <w:rsid w:val="0029644A"/>
    <w:rsid w:val="002A30ED"/>
    <w:rsid w:val="002A3C42"/>
    <w:rsid w:val="002A42C7"/>
    <w:rsid w:val="002A49A3"/>
    <w:rsid w:val="002A5D75"/>
    <w:rsid w:val="002B07CF"/>
    <w:rsid w:val="002B1B1A"/>
    <w:rsid w:val="002B481D"/>
    <w:rsid w:val="002B7228"/>
    <w:rsid w:val="002B79AB"/>
    <w:rsid w:val="002C1DBC"/>
    <w:rsid w:val="002C53EE"/>
    <w:rsid w:val="002C7A23"/>
    <w:rsid w:val="002D24F7"/>
    <w:rsid w:val="002D2799"/>
    <w:rsid w:val="002D2CD7"/>
    <w:rsid w:val="002D4DDC"/>
    <w:rsid w:val="002D4F75"/>
    <w:rsid w:val="002D6493"/>
    <w:rsid w:val="002D7732"/>
    <w:rsid w:val="002D7AB6"/>
    <w:rsid w:val="002E06D0"/>
    <w:rsid w:val="002E0703"/>
    <w:rsid w:val="002E3C27"/>
    <w:rsid w:val="002E403A"/>
    <w:rsid w:val="002E621D"/>
    <w:rsid w:val="002E6B2D"/>
    <w:rsid w:val="002E725E"/>
    <w:rsid w:val="002E775C"/>
    <w:rsid w:val="002E7F3A"/>
    <w:rsid w:val="002F31ED"/>
    <w:rsid w:val="002F4EDB"/>
    <w:rsid w:val="002F503F"/>
    <w:rsid w:val="002F6054"/>
    <w:rsid w:val="002F6072"/>
    <w:rsid w:val="00301042"/>
    <w:rsid w:val="003048E9"/>
    <w:rsid w:val="00310E13"/>
    <w:rsid w:val="0031378F"/>
    <w:rsid w:val="00315713"/>
    <w:rsid w:val="0031686C"/>
    <w:rsid w:val="00316FE0"/>
    <w:rsid w:val="00317CA5"/>
    <w:rsid w:val="003204D2"/>
    <w:rsid w:val="003226D9"/>
    <w:rsid w:val="00322C14"/>
    <w:rsid w:val="00323BB5"/>
    <w:rsid w:val="00325750"/>
    <w:rsid w:val="0032605E"/>
    <w:rsid w:val="003275D1"/>
    <w:rsid w:val="00330B2A"/>
    <w:rsid w:val="00331E17"/>
    <w:rsid w:val="00333063"/>
    <w:rsid w:val="00333385"/>
    <w:rsid w:val="003342D0"/>
    <w:rsid w:val="00334624"/>
    <w:rsid w:val="003362C6"/>
    <w:rsid w:val="003408E3"/>
    <w:rsid w:val="00340BC0"/>
    <w:rsid w:val="00343480"/>
    <w:rsid w:val="00345E89"/>
    <w:rsid w:val="00345F07"/>
    <w:rsid w:val="003522A1"/>
    <w:rsid w:val="0035254B"/>
    <w:rsid w:val="00353555"/>
    <w:rsid w:val="003540F0"/>
    <w:rsid w:val="003542D9"/>
    <w:rsid w:val="003553CD"/>
    <w:rsid w:val="003563B7"/>
    <w:rsid w:val="003565D4"/>
    <w:rsid w:val="003607FB"/>
    <w:rsid w:val="00360FD5"/>
    <w:rsid w:val="003611EF"/>
    <w:rsid w:val="0036340D"/>
    <w:rsid w:val="003634A5"/>
    <w:rsid w:val="00365564"/>
    <w:rsid w:val="00366868"/>
    <w:rsid w:val="00367506"/>
    <w:rsid w:val="00370085"/>
    <w:rsid w:val="00373BBF"/>
    <w:rsid w:val="003744A7"/>
    <w:rsid w:val="00376235"/>
    <w:rsid w:val="00381DCD"/>
    <w:rsid w:val="00381FB6"/>
    <w:rsid w:val="003836D3"/>
    <w:rsid w:val="00383A52"/>
    <w:rsid w:val="00383BC6"/>
    <w:rsid w:val="0038795B"/>
    <w:rsid w:val="00390732"/>
    <w:rsid w:val="00391652"/>
    <w:rsid w:val="0039333E"/>
    <w:rsid w:val="0039507F"/>
    <w:rsid w:val="0039727F"/>
    <w:rsid w:val="003A1260"/>
    <w:rsid w:val="003A295F"/>
    <w:rsid w:val="003A3C14"/>
    <w:rsid w:val="003A41DD"/>
    <w:rsid w:val="003A4C20"/>
    <w:rsid w:val="003A7033"/>
    <w:rsid w:val="003B47FE"/>
    <w:rsid w:val="003B4E68"/>
    <w:rsid w:val="003B5673"/>
    <w:rsid w:val="003B6287"/>
    <w:rsid w:val="003B62C9"/>
    <w:rsid w:val="003B71D1"/>
    <w:rsid w:val="003C2B51"/>
    <w:rsid w:val="003C6198"/>
    <w:rsid w:val="003C667A"/>
    <w:rsid w:val="003C7176"/>
    <w:rsid w:val="003D0929"/>
    <w:rsid w:val="003D424C"/>
    <w:rsid w:val="003D4729"/>
    <w:rsid w:val="003D7DD6"/>
    <w:rsid w:val="003E16CD"/>
    <w:rsid w:val="003E1EC9"/>
    <w:rsid w:val="003E5AAF"/>
    <w:rsid w:val="003E600D"/>
    <w:rsid w:val="003E64DF"/>
    <w:rsid w:val="003E6A5D"/>
    <w:rsid w:val="003F0AD5"/>
    <w:rsid w:val="003F193A"/>
    <w:rsid w:val="003F4207"/>
    <w:rsid w:val="003F5C46"/>
    <w:rsid w:val="003F7CBB"/>
    <w:rsid w:val="003F7D34"/>
    <w:rsid w:val="00401DEF"/>
    <w:rsid w:val="00404746"/>
    <w:rsid w:val="0040623E"/>
    <w:rsid w:val="00411EB5"/>
    <w:rsid w:val="00412C8E"/>
    <w:rsid w:val="0041518D"/>
    <w:rsid w:val="00421144"/>
    <w:rsid w:val="0042221D"/>
    <w:rsid w:val="00424DD3"/>
    <w:rsid w:val="00425417"/>
    <w:rsid w:val="004269C5"/>
    <w:rsid w:val="00432086"/>
    <w:rsid w:val="00435939"/>
    <w:rsid w:val="00435AC3"/>
    <w:rsid w:val="00437CC7"/>
    <w:rsid w:val="00441A52"/>
    <w:rsid w:val="00442B9C"/>
    <w:rsid w:val="00445EFA"/>
    <w:rsid w:val="0044738A"/>
    <w:rsid w:val="004473D3"/>
    <w:rsid w:val="00450072"/>
    <w:rsid w:val="00452231"/>
    <w:rsid w:val="0045370B"/>
    <w:rsid w:val="0045458C"/>
    <w:rsid w:val="00457E50"/>
    <w:rsid w:val="00460C13"/>
    <w:rsid w:val="00463228"/>
    <w:rsid w:val="00463782"/>
    <w:rsid w:val="004667E0"/>
    <w:rsid w:val="00466EAC"/>
    <w:rsid w:val="0046760E"/>
    <w:rsid w:val="004679FF"/>
    <w:rsid w:val="00470E10"/>
    <w:rsid w:val="00477A97"/>
    <w:rsid w:val="00481343"/>
    <w:rsid w:val="00481A97"/>
    <w:rsid w:val="00482ADD"/>
    <w:rsid w:val="00484C8B"/>
    <w:rsid w:val="0048549E"/>
    <w:rsid w:val="00490D73"/>
    <w:rsid w:val="004930C6"/>
    <w:rsid w:val="00493347"/>
    <w:rsid w:val="0049504E"/>
    <w:rsid w:val="00496092"/>
    <w:rsid w:val="004A08DB"/>
    <w:rsid w:val="004A25D0"/>
    <w:rsid w:val="004A30F4"/>
    <w:rsid w:val="004A37E8"/>
    <w:rsid w:val="004A7549"/>
    <w:rsid w:val="004B0281"/>
    <w:rsid w:val="004B09D4"/>
    <w:rsid w:val="004B29E5"/>
    <w:rsid w:val="004B309D"/>
    <w:rsid w:val="004B330A"/>
    <w:rsid w:val="004B5793"/>
    <w:rsid w:val="004B7C8E"/>
    <w:rsid w:val="004C3D3C"/>
    <w:rsid w:val="004C61AB"/>
    <w:rsid w:val="004C6624"/>
    <w:rsid w:val="004C7B8B"/>
    <w:rsid w:val="004D0EDC"/>
    <w:rsid w:val="004D1220"/>
    <w:rsid w:val="004D14B3"/>
    <w:rsid w:val="004D1529"/>
    <w:rsid w:val="004D2253"/>
    <w:rsid w:val="004D4A53"/>
    <w:rsid w:val="004D5514"/>
    <w:rsid w:val="004D56C3"/>
    <w:rsid w:val="004E0338"/>
    <w:rsid w:val="004E04AE"/>
    <w:rsid w:val="004E4FF3"/>
    <w:rsid w:val="004E56A8"/>
    <w:rsid w:val="004E6BB8"/>
    <w:rsid w:val="004E6C34"/>
    <w:rsid w:val="004F25B2"/>
    <w:rsid w:val="004F2F17"/>
    <w:rsid w:val="004F3B55"/>
    <w:rsid w:val="004F428E"/>
    <w:rsid w:val="004F4E46"/>
    <w:rsid w:val="004F528A"/>
    <w:rsid w:val="004F5E23"/>
    <w:rsid w:val="004F6B7D"/>
    <w:rsid w:val="00500639"/>
    <w:rsid w:val="005015F6"/>
    <w:rsid w:val="005030C4"/>
    <w:rsid w:val="005031C5"/>
    <w:rsid w:val="00504FDC"/>
    <w:rsid w:val="005120CC"/>
    <w:rsid w:val="00512B7B"/>
    <w:rsid w:val="00514EA1"/>
    <w:rsid w:val="0051548B"/>
    <w:rsid w:val="0051798B"/>
    <w:rsid w:val="00521CED"/>
    <w:rsid w:val="00521F5A"/>
    <w:rsid w:val="00525E06"/>
    <w:rsid w:val="00526454"/>
    <w:rsid w:val="005302D0"/>
    <w:rsid w:val="00530E86"/>
    <w:rsid w:val="00531823"/>
    <w:rsid w:val="005324E4"/>
    <w:rsid w:val="00534ECC"/>
    <w:rsid w:val="005365B9"/>
    <w:rsid w:val="00536EB3"/>
    <w:rsid w:val="0053720D"/>
    <w:rsid w:val="00537255"/>
    <w:rsid w:val="00540EF5"/>
    <w:rsid w:val="00541708"/>
    <w:rsid w:val="00541AC5"/>
    <w:rsid w:val="00541BF3"/>
    <w:rsid w:val="00541CD3"/>
    <w:rsid w:val="005476FA"/>
    <w:rsid w:val="0055595E"/>
    <w:rsid w:val="005567DA"/>
    <w:rsid w:val="00557988"/>
    <w:rsid w:val="00562C49"/>
    <w:rsid w:val="00562DEF"/>
    <w:rsid w:val="0056321A"/>
    <w:rsid w:val="00563378"/>
    <w:rsid w:val="00563A35"/>
    <w:rsid w:val="00564603"/>
    <w:rsid w:val="00566596"/>
    <w:rsid w:val="00566730"/>
    <w:rsid w:val="005724A3"/>
    <w:rsid w:val="005741E9"/>
    <w:rsid w:val="005748CF"/>
    <w:rsid w:val="005764FC"/>
    <w:rsid w:val="00576D8B"/>
    <w:rsid w:val="00580A89"/>
    <w:rsid w:val="00584270"/>
    <w:rsid w:val="00584738"/>
    <w:rsid w:val="00585A79"/>
    <w:rsid w:val="00586464"/>
    <w:rsid w:val="005905E4"/>
    <w:rsid w:val="005920B0"/>
    <w:rsid w:val="00592111"/>
    <w:rsid w:val="0059380D"/>
    <w:rsid w:val="00593CC3"/>
    <w:rsid w:val="00593DF3"/>
    <w:rsid w:val="00595A8F"/>
    <w:rsid w:val="00595C94"/>
    <w:rsid w:val="005977C2"/>
    <w:rsid w:val="0059783A"/>
    <w:rsid w:val="00597BF2"/>
    <w:rsid w:val="005A1F54"/>
    <w:rsid w:val="005A3020"/>
    <w:rsid w:val="005A4F53"/>
    <w:rsid w:val="005B134E"/>
    <w:rsid w:val="005B2039"/>
    <w:rsid w:val="005B2BBF"/>
    <w:rsid w:val="005B344F"/>
    <w:rsid w:val="005B3FBA"/>
    <w:rsid w:val="005B4A1D"/>
    <w:rsid w:val="005B674D"/>
    <w:rsid w:val="005B7A6B"/>
    <w:rsid w:val="005C056D"/>
    <w:rsid w:val="005C0CBE"/>
    <w:rsid w:val="005C1FCF"/>
    <w:rsid w:val="005C3F41"/>
    <w:rsid w:val="005D0EED"/>
    <w:rsid w:val="005D1885"/>
    <w:rsid w:val="005D4A38"/>
    <w:rsid w:val="005E2EEA"/>
    <w:rsid w:val="005E3708"/>
    <w:rsid w:val="005E3CCD"/>
    <w:rsid w:val="005E3D6B"/>
    <w:rsid w:val="005E5B55"/>
    <w:rsid w:val="005E5E4A"/>
    <w:rsid w:val="005E693D"/>
    <w:rsid w:val="005E75BF"/>
    <w:rsid w:val="005F20F0"/>
    <w:rsid w:val="005F57BA"/>
    <w:rsid w:val="005F61E6"/>
    <w:rsid w:val="005F6C45"/>
    <w:rsid w:val="00600497"/>
    <w:rsid w:val="00605A69"/>
    <w:rsid w:val="00606C54"/>
    <w:rsid w:val="00606C96"/>
    <w:rsid w:val="00612096"/>
    <w:rsid w:val="00614375"/>
    <w:rsid w:val="00614741"/>
    <w:rsid w:val="0061539A"/>
    <w:rsid w:val="00615B0A"/>
    <w:rsid w:val="00616011"/>
    <w:rsid w:val="006168CF"/>
    <w:rsid w:val="0062011B"/>
    <w:rsid w:val="00626AD3"/>
    <w:rsid w:val="00626DE0"/>
    <w:rsid w:val="00627C19"/>
    <w:rsid w:val="00630901"/>
    <w:rsid w:val="00630AF1"/>
    <w:rsid w:val="00631F8E"/>
    <w:rsid w:val="00632A01"/>
    <w:rsid w:val="00635209"/>
    <w:rsid w:val="00636EE9"/>
    <w:rsid w:val="00637819"/>
    <w:rsid w:val="00640950"/>
    <w:rsid w:val="00640976"/>
    <w:rsid w:val="00641AE7"/>
    <w:rsid w:val="00642629"/>
    <w:rsid w:val="00645752"/>
    <w:rsid w:val="00645CEE"/>
    <w:rsid w:val="00646CD9"/>
    <w:rsid w:val="0064782B"/>
    <w:rsid w:val="00651520"/>
    <w:rsid w:val="0065293D"/>
    <w:rsid w:val="00653B06"/>
    <w:rsid w:val="00653EFC"/>
    <w:rsid w:val="00654021"/>
    <w:rsid w:val="006567F0"/>
    <w:rsid w:val="00661045"/>
    <w:rsid w:val="006641C9"/>
    <w:rsid w:val="00666DA8"/>
    <w:rsid w:val="00671057"/>
    <w:rsid w:val="00675AAF"/>
    <w:rsid w:val="00677FB5"/>
    <w:rsid w:val="0068031A"/>
    <w:rsid w:val="00680CB6"/>
    <w:rsid w:val="00681B2F"/>
    <w:rsid w:val="0068335F"/>
    <w:rsid w:val="00683B23"/>
    <w:rsid w:val="00686CAB"/>
    <w:rsid w:val="00687217"/>
    <w:rsid w:val="00693302"/>
    <w:rsid w:val="0069340F"/>
    <w:rsid w:val="0069640B"/>
    <w:rsid w:val="006A006E"/>
    <w:rsid w:val="006A031D"/>
    <w:rsid w:val="006A1B83"/>
    <w:rsid w:val="006A21CD"/>
    <w:rsid w:val="006A56FA"/>
    <w:rsid w:val="006A5918"/>
    <w:rsid w:val="006B21B2"/>
    <w:rsid w:val="006B4A4A"/>
    <w:rsid w:val="006B6929"/>
    <w:rsid w:val="006C19B2"/>
    <w:rsid w:val="006C4409"/>
    <w:rsid w:val="006C5BB8"/>
    <w:rsid w:val="006C6072"/>
    <w:rsid w:val="006C6936"/>
    <w:rsid w:val="006C7B01"/>
    <w:rsid w:val="006D0FE8"/>
    <w:rsid w:val="006D14EE"/>
    <w:rsid w:val="006D4B2B"/>
    <w:rsid w:val="006D4F3C"/>
    <w:rsid w:val="006D5C66"/>
    <w:rsid w:val="006D7002"/>
    <w:rsid w:val="006E064F"/>
    <w:rsid w:val="006E1B3C"/>
    <w:rsid w:val="006E23FB"/>
    <w:rsid w:val="006E325A"/>
    <w:rsid w:val="006E33EC"/>
    <w:rsid w:val="006E3802"/>
    <w:rsid w:val="006E6C02"/>
    <w:rsid w:val="006F019A"/>
    <w:rsid w:val="006F22AD"/>
    <w:rsid w:val="006F231A"/>
    <w:rsid w:val="006F6B55"/>
    <w:rsid w:val="006F788D"/>
    <w:rsid w:val="006F78E1"/>
    <w:rsid w:val="00700712"/>
    <w:rsid w:val="00701072"/>
    <w:rsid w:val="00702054"/>
    <w:rsid w:val="00702C21"/>
    <w:rsid w:val="007035A4"/>
    <w:rsid w:val="00704823"/>
    <w:rsid w:val="0070674C"/>
    <w:rsid w:val="00706AEF"/>
    <w:rsid w:val="007111BA"/>
    <w:rsid w:val="00711799"/>
    <w:rsid w:val="00711F0C"/>
    <w:rsid w:val="00712B78"/>
    <w:rsid w:val="0071393B"/>
    <w:rsid w:val="00713EE2"/>
    <w:rsid w:val="007177FC"/>
    <w:rsid w:val="00720787"/>
    <w:rsid w:val="00720C5E"/>
    <w:rsid w:val="00721701"/>
    <w:rsid w:val="00721B13"/>
    <w:rsid w:val="00725970"/>
    <w:rsid w:val="0072693E"/>
    <w:rsid w:val="00727C2D"/>
    <w:rsid w:val="00731835"/>
    <w:rsid w:val="007327F3"/>
    <w:rsid w:val="007341F8"/>
    <w:rsid w:val="00734372"/>
    <w:rsid w:val="00734EB8"/>
    <w:rsid w:val="00735F8B"/>
    <w:rsid w:val="0074090B"/>
    <w:rsid w:val="00742D1F"/>
    <w:rsid w:val="00742F97"/>
    <w:rsid w:val="00743EBA"/>
    <w:rsid w:val="00744900"/>
    <w:rsid w:val="00744C8E"/>
    <w:rsid w:val="0074566E"/>
    <w:rsid w:val="0074707E"/>
    <w:rsid w:val="007516DC"/>
    <w:rsid w:val="00752428"/>
    <w:rsid w:val="00752DB7"/>
    <w:rsid w:val="00752E58"/>
    <w:rsid w:val="00754B80"/>
    <w:rsid w:val="00761918"/>
    <w:rsid w:val="00762711"/>
    <w:rsid w:val="00762F03"/>
    <w:rsid w:val="0076413B"/>
    <w:rsid w:val="007648AE"/>
    <w:rsid w:val="00764BF8"/>
    <w:rsid w:val="0076514D"/>
    <w:rsid w:val="007665A7"/>
    <w:rsid w:val="00772C32"/>
    <w:rsid w:val="00773D59"/>
    <w:rsid w:val="00781003"/>
    <w:rsid w:val="007911FD"/>
    <w:rsid w:val="00793930"/>
    <w:rsid w:val="00793DD1"/>
    <w:rsid w:val="00794FEC"/>
    <w:rsid w:val="00797B82"/>
    <w:rsid w:val="007A003E"/>
    <w:rsid w:val="007A1965"/>
    <w:rsid w:val="007A2ED1"/>
    <w:rsid w:val="007A35D6"/>
    <w:rsid w:val="007A4BE6"/>
    <w:rsid w:val="007B0DC6"/>
    <w:rsid w:val="007B1094"/>
    <w:rsid w:val="007B1762"/>
    <w:rsid w:val="007B3320"/>
    <w:rsid w:val="007B798C"/>
    <w:rsid w:val="007C301F"/>
    <w:rsid w:val="007C4540"/>
    <w:rsid w:val="007C4DD5"/>
    <w:rsid w:val="007C5370"/>
    <w:rsid w:val="007C65AF"/>
    <w:rsid w:val="007D135D"/>
    <w:rsid w:val="007D730F"/>
    <w:rsid w:val="007D7CD8"/>
    <w:rsid w:val="007E292E"/>
    <w:rsid w:val="007E3AA7"/>
    <w:rsid w:val="007E3B76"/>
    <w:rsid w:val="007E64F1"/>
    <w:rsid w:val="007F2F92"/>
    <w:rsid w:val="007F3072"/>
    <w:rsid w:val="007F63B3"/>
    <w:rsid w:val="007F6A3F"/>
    <w:rsid w:val="007F737D"/>
    <w:rsid w:val="00802DBA"/>
    <w:rsid w:val="0080308E"/>
    <w:rsid w:val="00805181"/>
    <w:rsid w:val="00805303"/>
    <w:rsid w:val="00806705"/>
    <w:rsid w:val="00806738"/>
    <w:rsid w:val="00812097"/>
    <w:rsid w:val="00813901"/>
    <w:rsid w:val="0082062B"/>
    <w:rsid w:val="008216D5"/>
    <w:rsid w:val="0082266F"/>
    <w:rsid w:val="008226BA"/>
    <w:rsid w:val="0082336A"/>
    <w:rsid w:val="008249CE"/>
    <w:rsid w:val="00831A50"/>
    <w:rsid w:val="00831B3C"/>
    <w:rsid w:val="00831C89"/>
    <w:rsid w:val="00832114"/>
    <w:rsid w:val="00834C46"/>
    <w:rsid w:val="0084093E"/>
    <w:rsid w:val="00841CE1"/>
    <w:rsid w:val="00844638"/>
    <w:rsid w:val="008447F5"/>
    <w:rsid w:val="008473D8"/>
    <w:rsid w:val="008528DC"/>
    <w:rsid w:val="00852B8C"/>
    <w:rsid w:val="00854981"/>
    <w:rsid w:val="00862BCA"/>
    <w:rsid w:val="00863F0D"/>
    <w:rsid w:val="00864B2E"/>
    <w:rsid w:val="00865963"/>
    <w:rsid w:val="0086733F"/>
    <w:rsid w:val="0087037D"/>
    <w:rsid w:val="00871C1D"/>
    <w:rsid w:val="008724F4"/>
    <w:rsid w:val="0087450E"/>
    <w:rsid w:val="00875A82"/>
    <w:rsid w:val="00876A58"/>
    <w:rsid w:val="00876CA3"/>
    <w:rsid w:val="008772FE"/>
    <w:rsid w:val="008775F1"/>
    <w:rsid w:val="00880DB5"/>
    <w:rsid w:val="008821AE"/>
    <w:rsid w:val="00883B28"/>
    <w:rsid w:val="00883D3A"/>
    <w:rsid w:val="0088425D"/>
    <w:rsid w:val="008845D9"/>
    <w:rsid w:val="008849D1"/>
    <w:rsid w:val="008853C6"/>
    <w:rsid w:val="008854F7"/>
    <w:rsid w:val="00885A9D"/>
    <w:rsid w:val="00885DF4"/>
    <w:rsid w:val="00891077"/>
    <w:rsid w:val="008929D2"/>
    <w:rsid w:val="00893636"/>
    <w:rsid w:val="00893A90"/>
    <w:rsid w:val="00893B94"/>
    <w:rsid w:val="0089687F"/>
    <w:rsid w:val="00896E9D"/>
    <w:rsid w:val="00896F11"/>
    <w:rsid w:val="008A1049"/>
    <w:rsid w:val="008A1C98"/>
    <w:rsid w:val="008A2F52"/>
    <w:rsid w:val="008A322D"/>
    <w:rsid w:val="008A39C1"/>
    <w:rsid w:val="008A4D72"/>
    <w:rsid w:val="008A53C6"/>
    <w:rsid w:val="008A6285"/>
    <w:rsid w:val="008A63B2"/>
    <w:rsid w:val="008B11F0"/>
    <w:rsid w:val="008B345D"/>
    <w:rsid w:val="008C0A76"/>
    <w:rsid w:val="008C1FC2"/>
    <w:rsid w:val="008C205D"/>
    <w:rsid w:val="008C238C"/>
    <w:rsid w:val="008C2980"/>
    <w:rsid w:val="008C2CD7"/>
    <w:rsid w:val="008C481F"/>
    <w:rsid w:val="008C4DD6"/>
    <w:rsid w:val="008C5AFB"/>
    <w:rsid w:val="008C5EC3"/>
    <w:rsid w:val="008C6C19"/>
    <w:rsid w:val="008D07FB"/>
    <w:rsid w:val="008D0C02"/>
    <w:rsid w:val="008D357D"/>
    <w:rsid w:val="008D435A"/>
    <w:rsid w:val="008D7EE2"/>
    <w:rsid w:val="008D7F54"/>
    <w:rsid w:val="008E387B"/>
    <w:rsid w:val="008E6087"/>
    <w:rsid w:val="008E758D"/>
    <w:rsid w:val="008F10A7"/>
    <w:rsid w:val="008F755D"/>
    <w:rsid w:val="008F7A39"/>
    <w:rsid w:val="00900956"/>
    <w:rsid w:val="00901500"/>
    <w:rsid w:val="00901AB5"/>
    <w:rsid w:val="009021E8"/>
    <w:rsid w:val="00903F85"/>
    <w:rsid w:val="00904677"/>
    <w:rsid w:val="009051B9"/>
    <w:rsid w:val="00905EE2"/>
    <w:rsid w:val="00907061"/>
    <w:rsid w:val="009107FF"/>
    <w:rsid w:val="00911440"/>
    <w:rsid w:val="00911712"/>
    <w:rsid w:val="00911B27"/>
    <w:rsid w:val="0091265A"/>
    <w:rsid w:val="009170BE"/>
    <w:rsid w:val="0092090C"/>
    <w:rsid w:val="00920B55"/>
    <w:rsid w:val="00922E2D"/>
    <w:rsid w:val="0092373E"/>
    <w:rsid w:val="009245BF"/>
    <w:rsid w:val="009248CD"/>
    <w:rsid w:val="00924FC6"/>
    <w:rsid w:val="00925915"/>
    <w:rsid w:val="009262C9"/>
    <w:rsid w:val="0093003F"/>
    <w:rsid w:val="00930EB9"/>
    <w:rsid w:val="00931198"/>
    <w:rsid w:val="00932D9E"/>
    <w:rsid w:val="00933DC7"/>
    <w:rsid w:val="009374E6"/>
    <w:rsid w:val="009418F4"/>
    <w:rsid w:val="00942BBC"/>
    <w:rsid w:val="00944180"/>
    <w:rsid w:val="00944AA0"/>
    <w:rsid w:val="00947DA2"/>
    <w:rsid w:val="0095055F"/>
    <w:rsid w:val="00951177"/>
    <w:rsid w:val="00951F99"/>
    <w:rsid w:val="00952EEF"/>
    <w:rsid w:val="00955877"/>
    <w:rsid w:val="00955D74"/>
    <w:rsid w:val="009657E6"/>
    <w:rsid w:val="00966468"/>
    <w:rsid w:val="009673E8"/>
    <w:rsid w:val="00974D5C"/>
    <w:rsid w:val="00974DB8"/>
    <w:rsid w:val="009750E6"/>
    <w:rsid w:val="00975BBF"/>
    <w:rsid w:val="00980661"/>
    <w:rsid w:val="0098093B"/>
    <w:rsid w:val="009828C3"/>
    <w:rsid w:val="00983102"/>
    <w:rsid w:val="0098479C"/>
    <w:rsid w:val="00985A11"/>
    <w:rsid w:val="009876D4"/>
    <w:rsid w:val="009914A5"/>
    <w:rsid w:val="00994AD6"/>
    <w:rsid w:val="0099548E"/>
    <w:rsid w:val="00996456"/>
    <w:rsid w:val="00996A12"/>
    <w:rsid w:val="00997B0F"/>
    <w:rsid w:val="009A0CC3"/>
    <w:rsid w:val="009A10C5"/>
    <w:rsid w:val="009A1CAD"/>
    <w:rsid w:val="009A3440"/>
    <w:rsid w:val="009A5832"/>
    <w:rsid w:val="009A6838"/>
    <w:rsid w:val="009B24B5"/>
    <w:rsid w:val="009B4EBC"/>
    <w:rsid w:val="009B5ABB"/>
    <w:rsid w:val="009B73CE"/>
    <w:rsid w:val="009C2461"/>
    <w:rsid w:val="009C3CEE"/>
    <w:rsid w:val="009C5A15"/>
    <w:rsid w:val="009C6FE2"/>
    <w:rsid w:val="009C7674"/>
    <w:rsid w:val="009D004A"/>
    <w:rsid w:val="009D5880"/>
    <w:rsid w:val="009E02CB"/>
    <w:rsid w:val="009E1878"/>
    <w:rsid w:val="009E1DF2"/>
    <w:rsid w:val="009E1FD4"/>
    <w:rsid w:val="009E3B07"/>
    <w:rsid w:val="009E51D1"/>
    <w:rsid w:val="009E5531"/>
    <w:rsid w:val="009F0A4A"/>
    <w:rsid w:val="009F1613"/>
    <w:rsid w:val="009F171E"/>
    <w:rsid w:val="009F24CF"/>
    <w:rsid w:val="009F3D2F"/>
    <w:rsid w:val="009F7052"/>
    <w:rsid w:val="00A02668"/>
    <w:rsid w:val="00A02801"/>
    <w:rsid w:val="00A06A39"/>
    <w:rsid w:val="00A07F58"/>
    <w:rsid w:val="00A1294C"/>
    <w:rsid w:val="00A131CB"/>
    <w:rsid w:val="00A14847"/>
    <w:rsid w:val="00A1588D"/>
    <w:rsid w:val="00A16D6D"/>
    <w:rsid w:val="00A21383"/>
    <w:rsid w:val="00A2199F"/>
    <w:rsid w:val="00A21B31"/>
    <w:rsid w:val="00A2360E"/>
    <w:rsid w:val="00A24B18"/>
    <w:rsid w:val="00A26E0C"/>
    <w:rsid w:val="00A3096C"/>
    <w:rsid w:val="00A32FCB"/>
    <w:rsid w:val="00A34C25"/>
    <w:rsid w:val="00A3507D"/>
    <w:rsid w:val="00A3717A"/>
    <w:rsid w:val="00A4088C"/>
    <w:rsid w:val="00A43B78"/>
    <w:rsid w:val="00A4456B"/>
    <w:rsid w:val="00A448D4"/>
    <w:rsid w:val="00A452E0"/>
    <w:rsid w:val="00A47FDF"/>
    <w:rsid w:val="00A506DF"/>
    <w:rsid w:val="00A51EA5"/>
    <w:rsid w:val="00A53742"/>
    <w:rsid w:val="00A557A1"/>
    <w:rsid w:val="00A60557"/>
    <w:rsid w:val="00A63059"/>
    <w:rsid w:val="00A63AE3"/>
    <w:rsid w:val="00A651A4"/>
    <w:rsid w:val="00A71361"/>
    <w:rsid w:val="00A71730"/>
    <w:rsid w:val="00A746E2"/>
    <w:rsid w:val="00A8068A"/>
    <w:rsid w:val="00A81FF2"/>
    <w:rsid w:val="00A83904"/>
    <w:rsid w:val="00A83B29"/>
    <w:rsid w:val="00A865FF"/>
    <w:rsid w:val="00A90066"/>
    <w:rsid w:val="00A90A79"/>
    <w:rsid w:val="00A933EA"/>
    <w:rsid w:val="00A96B30"/>
    <w:rsid w:val="00AA442D"/>
    <w:rsid w:val="00AA4EA6"/>
    <w:rsid w:val="00AA59B5"/>
    <w:rsid w:val="00AA678E"/>
    <w:rsid w:val="00AA7777"/>
    <w:rsid w:val="00AA7B84"/>
    <w:rsid w:val="00AC0B4C"/>
    <w:rsid w:val="00AC1164"/>
    <w:rsid w:val="00AC2296"/>
    <w:rsid w:val="00AC2754"/>
    <w:rsid w:val="00AC3566"/>
    <w:rsid w:val="00AC46BC"/>
    <w:rsid w:val="00AC48B0"/>
    <w:rsid w:val="00AC4ACD"/>
    <w:rsid w:val="00AC5DFB"/>
    <w:rsid w:val="00AD13DC"/>
    <w:rsid w:val="00AD281A"/>
    <w:rsid w:val="00AD6DE2"/>
    <w:rsid w:val="00AD7BC9"/>
    <w:rsid w:val="00AE0A40"/>
    <w:rsid w:val="00AE1ED4"/>
    <w:rsid w:val="00AE21E1"/>
    <w:rsid w:val="00AE2F8D"/>
    <w:rsid w:val="00AE3BAE"/>
    <w:rsid w:val="00AE6074"/>
    <w:rsid w:val="00AE6A21"/>
    <w:rsid w:val="00AF1C8F"/>
    <w:rsid w:val="00AF2B68"/>
    <w:rsid w:val="00AF2C92"/>
    <w:rsid w:val="00AF3EC1"/>
    <w:rsid w:val="00AF4811"/>
    <w:rsid w:val="00AF5025"/>
    <w:rsid w:val="00AF519F"/>
    <w:rsid w:val="00AF5250"/>
    <w:rsid w:val="00AF5259"/>
    <w:rsid w:val="00AF5387"/>
    <w:rsid w:val="00AF55F5"/>
    <w:rsid w:val="00AF7E86"/>
    <w:rsid w:val="00B007A5"/>
    <w:rsid w:val="00B00E69"/>
    <w:rsid w:val="00B015FF"/>
    <w:rsid w:val="00B024B9"/>
    <w:rsid w:val="00B077FA"/>
    <w:rsid w:val="00B11D34"/>
    <w:rsid w:val="00B127D7"/>
    <w:rsid w:val="00B13B0C"/>
    <w:rsid w:val="00B14408"/>
    <w:rsid w:val="00B1453A"/>
    <w:rsid w:val="00B16252"/>
    <w:rsid w:val="00B20CB9"/>
    <w:rsid w:val="00B20F82"/>
    <w:rsid w:val="00B22730"/>
    <w:rsid w:val="00B22775"/>
    <w:rsid w:val="00B25BD5"/>
    <w:rsid w:val="00B25CC1"/>
    <w:rsid w:val="00B26EED"/>
    <w:rsid w:val="00B3241E"/>
    <w:rsid w:val="00B34079"/>
    <w:rsid w:val="00B3793A"/>
    <w:rsid w:val="00B401BA"/>
    <w:rsid w:val="00B4043E"/>
    <w:rsid w:val="00B407E4"/>
    <w:rsid w:val="00B425B6"/>
    <w:rsid w:val="00B42A72"/>
    <w:rsid w:val="00B441AE"/>
    <w:rsid w:val="00B448D3"/>
    <w:rsid w:val="00B45294"/>
    <w:rsid w:val="00B45A65"/>
    <w:rsid w:val="00B45F33"/>
    <w:rsid w:val="00B46D50"/>
    <w:rsid w:val="00B52B6E"/>
    <w:rsid w:val="00B53170"/>
    <w:rsid w:val="00B53286"/>
    <w:rsid w:val="00B548B9"/>
    <w:rsid w:val="00B56DBE"/>
    <w:rsid w:val="00B613DB"/>
    <w:rsid w:val="00B62999"/>
    <w:rsid w:val="00B63134"/>
    <w:rsid w:val="00B63BE3"/>
    <w:rsid w:val="00B64885"/>
    <w:rsid w:val="00B64FA3"/>
    <w:rsid w:val="00B66810"/>
    <w:rsid w:val="00B72BE3"/>
    <w:rsid w:val="00B73B80"/>
    <w:rsid w:val="00B73C0F"/>
    <w:rsid w:val="00B770C7"/>
    <w:rsid w:val="00B80F26"/>
    <w:rsid w:val="00B81860"/>
    <w:rsid w:val="00B822BD"/>
    <w:rsid w:val="00B826B1"/>
    <w:rsid w:val="00B842F4"/>
    <w:rsid w:val="00B87F7B"/>
    <w:rsid w:val="00B90AAD"/>
    <w:rsid w:val="00B917E8"/>
    <w:rsid w:val="00B91A7B"/>
    <w:rsid w:val="00B92851"/>
    <w:rsid w:val="00B929DD"/>
    <w:rsid w:val="00B93A5A"/>
    <w:rsid w:val="00B93AF6"/>
    <w:rsid w:val="00B95405"/>
    <w:rsid w:val="00B959F6"/>
    <w:rsid w:val="00B963F1"/>
    <w:rsid w:val="00B97B2E"/>
    <w:rsid w:val="00BA0084"/>
    <w:rsid w:val="00BA014C"/>
    <w:rsid w:val="00BA020A"/>
    <w:rsid w:val="00BA538E"/>
    <w:rsid w:val="00BB025A"/>
    <w:rsid w:val="00BB02A4"/>
    <w:rsid w:val="00BB0D90"/>
    <w:rsid w:val="00BB1270"/>
    <w:rsid w:val="00BB1B1E"/>
    <w:rsid w:val="00BB1E44"/>
    <w:rsid w:val="00BB347B"/>
    <w:rsid w:val="00BB5267"/>
    <w:rsid w:val="00BB52B8"/>
    <w:rsid w:val="00BB59D8"/>
    <w:rsid w:val="00BB7D10"/>
    <w:rsid w:val="00BB7E69"/>
    <w:rsid w:val="00BC0E51"/>
    <w:rsid w:val="00BC3715"/>
    <w:rsid w:val="00BC3C1F"/>
    <w:rsid w:val="00BC7CE7"/>
    <w:rsid w:val="00BD295E"/>
    <w:rsid w:val="00BD4664"/>
    <w:rsid w:val="00BE0496"/>
    <w:rsid w:val="00BE1193"/>
    <w:rsid w:val="00BE54D4"/>
    <w:rsid w:val="00BF4849"/>
    <w:rsid w:val="00BF4EA7"/>
    <w:rsid w:val="00BF6525"/>
    <w:rsid w:val="00C00EDB"/>
    <w:rsid w:val="00C02863"/>
    <w:rsid w:val="00C030D3"/>
    <w:rsid w:val="00C0383A"/>
    <w:rsid w:val="00C052D3"/>
    <w:rsid w:val="00C067FF"/>
    <w:rsid w:val="00C12862"/>
    <w:rsid w:val="00C13D28"/>
    <w:rsid w:val="00C14585"/>
    <w:rsid w:val="00C165A0"/>
    <w:rsid w:val="00C216CE"/>
    <w:rsid w:val="00C2184F"/>
    <w:rsid w:val="00C22547"/>
    <w:rsid w:val="00C22A78"/>
    <w:rsid w:val="00C23C7E"/>
    <w:rsid w:val="00C246C5"/>
    <w:rsid w:val="00C25A82"/>
    <w:rsid w:val="00C30A2A"/>
    <w:rsid w:val="00C33993"/>
    <w:rsid w:val="00C375E7"/>
    <w:rsid w:val="00C4069E"/>
    <w:rsid w:val="00C418D1"/>
    <w:rsid w:val="00C41ADC"/>
    <w:rsid w:val="00C424E8"/>
    <w:rsid w:val="00C44149"/>
    <w:rsid w:val="00C443A7"/>
    <w:rsid w:val="00C44410"/>
    <w:rsid w:val="00C44A15"/>
    <w:rsid w:val="00C4630A"/>
    <w:rsid w:val="00C465A1"/>
    <w:rsid w:val="00C504F9"/>
    <w:rsid w:val="00C523F0"/>
    <w:rsid w:val="00C52424"/>
    <w:rsid w:val="00C526D2"/>
    <w:rsid w:val="00C53A91"/>
    <w:rsid w:val="00C53B7A"/>
    <w:rsid w:val="00C54AB1"/>
    <w:rsid w:val="00C5794E"/>
    <w:rsid w:val="00C57BC1"/>
    <w:rsid w:val="00C60968"/>
    <w:rsid w:val="00C617A7"/>
    <w:rsid w:val="00C61EC8"/>
    <w:rsid w:val="00C61F34"/>
    <w:rsid w:val="00C63D39"/>
    <w:rsid w:val="00C63EDD"/>
    <w:rsid w:val="00C65B36"/>
    <w:rsid w:val="00C65F75"/>
    <w:rsid w:val="00C663D3"/>
    <w:rsid w:val="00C669F9"/>
    <w:rsid w:val="00C71FCB"/>
    <w:rsid w:val="00C7292E"/>
    <w:rsid w:val="00C74E88"/>
    <w:rsid w:val="00C80924"/>
    <w:rsid w:val="00C8286B"/>
    <w:rsid w:val="00C9423A"/>
    <w:rsid w:val="00C947F8"/>
    <w:rsid w:val="00C9515F"/>
    <w:rsid w:val="00C963C5"/>
    <w:rsid w:val="00C96A9F"/>
    <w:rsid w:val="00C97A5A"/>
    <w:rsid w:val="00CA030C"/>
    <w:rsid w:val="00CA1F41"/>
    <w:rsid w:val="00CA32EE"/>
    <w:rsid w:val="00CA43C4"/>
    <w:rsid w:val="00CA5771"/>
    <w:rsid w:val="00CA6A1A"/>
    <w:rsid w:val="00CC1E75"/>
    <w:rsid w:val="00CC2E0E"/>
    <w:rsid w:val="00CC361C"/>
    <w:rsid w:val="00CC380A"/>
    <w:rsid w:val="00CC474B"/>
    <w:rsid w:val="00CC4CD5"/>
    <w:rsid w:val="00CC658C"/>
    <w:rsid w:val="00CC67BF"/>
    <w:rsid w:val="00CD0843"/>
    <w:rsid w:val="00CD4E31"/>
    <w:rsid w:val="00CD5A78"/>
    <w:rsid w:val="00CD7345"/>
    <w:rsid w:val="00CE372E"/>
    <w:rsid w:val="00CE4CFA"/>
    <w:rsid w:val="00CF0A1B"/>
    <w:rsid w:val="00CF110F"/>
    <w:rsid w:val="00CF19F6"/>
    <w:rsid w:val="00CF2F4F"/>
    <w:rsid w:val="00CF4799"/>
    <w:rsid w:val="00CF536D"/>
    <w:rsid w:val="00D02E9D"/>
    <w:rsid w:val="00D04D72"/>
    <w:rsid w:val="00D10093"/>
    <w:rsid w:val="00D10CB8"/>
    <w:rsid w:val="00D12806"/>
    <w:rsid w:val="00D12D44"/>
    <w:rsid w:val="00D1371B"/>
    <w:rsid w:val="00D1392E"/>
    <w:rsid w:val="00D15018"/>
    <w:rsid w:val="00D158AC"/>
    <w:rsid w:val="00D1694C"/>
    <w:rsid w:val="00D204B7"/>
    <w:rsid w:val="00D20F5E"/>
    <w:rsid w:val="00D23B76"/>
    <w:rsid w:val="00D2430E"/>
    <w:rsid w:val="00D24B4A"/>
    <w:rsid w:val="00D347A6"/>
    <w:rsid w:val="00D34B60"/>
    <w:rsid w:val="00D379A3"/>
    <w:rsid w:val="00D44066"/>
    <w:rsid w:val="00D44231"/>
    <w:rsid w:val="00D45FF3"/>
    <w:rsid w:val="00D512CF"/>
    <w:rsid w:val="00D528B9"/>
    <w:rsid w:val="00D53186"/>
    <w:rsid w:val="00D54181"/>
    <w:rsid w:val="00D5487D"/>
    <w:rsid w:val="00D56A39"/>
    <w:rsid w:val="00D57162"/>
    <w:rsid w:val="00D576B5"/>
    <w:rsid w:val="00D60140"/>
    <w:rsid w:val="00D6024A"/>
    <w:rsid w:val="00D60632"/>
    <w:rsid w:val="00D608B5"/>
    <w:rsid w:val="00D60E0D"/>
    <w:rsid w:val="00D61188"/>
    <w:rsid w:val="00D64739"/>
    <w:rsid w:val="00D70928"/>
    <w:rsid w:val="00D71F99"/>
    <w:rsid w:val="00D73CA4"/>
    <w:rsid w:val="00D73D71"/>
    <w:rsid w:val="00D74396"/>
    <w:rsid w:val="00D80284"/>
    <w:rsid w:val="00D8083F"/>
    <w:rsid w:val="00D813E8"/>
    <w:rsid w:val="00D81F71"/>
    <w:rsid w:val="00D8642D"/>
    <w:rsid w:val="00D90A5E"/>
    <w:rsid w:val="00D91A68"/>
    <w:rsid w:val="00D92721"/>
    <w:rsid w:val="00D95A68"/>
    <w:rsid w:val="00D96046"/>
    <w:rsid w:val="00D964E4"/>
    <w:rsid w:val="00DA17C7"/>
    <w:rsid w:val="00DA260D"/>
    <w:rsid w:val="00DA5F7A"/>
    <w:rsid w:val="00DA6A01"/>
    <w:rsid w:val="00DA6A9A"/>
    <w:rsid w:val="00DB0FF0"/>
    <w:rsid w:val="00DB1EFD"/>
    <w:rsid w:val="00DB3EAF"/>
    <w:rsid w:val="00DB46C6"/>
    <w:rsid w:val="00DB6FA7"/>
    <w:rsid w:val="00DC3203"/>
    <w:rsid w:val="00DC3C99"/>
    <w:rsid w:val="00DC52F5"/>
    <w:rsid w:val="00DC5FD0"/>
    <w:rsid w:val="00DC6931"/>
    <w:rsid w:val="00DD0354"/>
    <w:rsid w:val="00DD27D7"/>
    <w:rsid w:val="00DD458C"/>
    <w:rsid w:val="00DD71A6"/>
    <w:rsid w:val="00DD72E9"/>
    <w:rsid w:val="00DD7605"/>
    <w:rsid w:val="00DE2020"/>
    <w:rsid w:val="00DE20EF"/>
    <w:rsid w:val="00DE3476"/>
    <w:rsid w:val="00DE5868"/>
    <w:rsid w:val="00DE7BEA"/>
    <w:rsid w:val="00DF05ED"/>
    <w:rsid w:val="00DF1148"/>
    <w:rsid w:val="00DF2FAB"/>
    <w:rsid w:val="00DF5B84"/>
    <w:rsid w:val="00DF6D5B"/>
    <w:rsid w:val="00DF771B"/>
    <w:rsid w:val="00DF7EE2"/>
    <w:rsid w:val="00E01BAA"/>
    <w:rsid w:val="00E0282A"/>
    <w:rsid w:val="00E02F9B"/>
    <w:rsid w:val="00E06114"/>
    <w:rsid w:val="00E07E14"/>
    <w:rsid w:val="00E1291B"/>
    <w:rsid w:val="00E14661"/>
    <w:rsid w:val="00E14F94"/>
    <w:rsid w:val="00E17336"/>
    <w:rsid w:val="00E17D15"/>
    <w:rsid w:val="00E22B95"/>
    <w:rsid w:val="00E23367"/>
    <w:rsid w:val="00E26C63"/>
    <w:rsid w:val="00E30331"/>
    <w:rsid w:val="00E30BB8"/>
    <w:rsid w:val="00E31CE9"/>
    <w:rsid w:val="00E31F9C"/>
    <w:rsid w:val="00E32A4B"/>
    <w:rsid w:val="00E37775"/>
    <w:rsid w:val="00E40488"/>
    <w:rsid w:val="00E50367"/>
    <w:rsid w:val="00E51508"/>
    <w:rsid w:val="00E51ABA"/>
    <w:rsid w:val="00E5248C"/>
    <w:rsid w:val="00E524CB"/>
    <w:rsid w:val="00E60CB2"/>
    <w:rsid w:val="00E62CE9"/>
    <w:rsid w:val="00E64C77"/>
    <w:rsid w:val="00E65456"/>
    <w:rsid w:val="00E65A91"/>
    <w:rsid w:val="00E66188"/>
    <w:rsid w:val="00E664FB"/>
    <w:rsid w:val="00E66D80"/>
    <w:rsid w:val="00E672F0"/>
    <w:rsid w:val="00E70373"/>
    <w:rsid w:val="00E718EC"/>
    <w:rsid w:val="00E72911"/>
    <w:rsid w:val="00E72E40"/>
    <w:rsid w:val="00E73665"/>
    <w:rsid w:val="00E73999"/>
    <w:rsid w:val="00E73BDC"/>
    <w:rsid w:val="00E73E9E"/>
    <w:rsid w:val="00E768FD"/>
    <w:rsid w:val="00E800C5"/>
    <w:rsid w:val="00E81660"/>
    <w:rsid w:val="00E83BC4"/>
    <w:rsid w:val="00E854FE"/>
    <w:rsid w:val="00E87AF1"/>
    <w:rsid w:val="00E906CC"/>
    <w:rsid w:val="00E939A0"/>
    <w:rsid w:val="00E93F3F"/>
    <w:rsid w:val="00E97E4E"/>
    <w:rsid w:val="00EA10E7"/>
    <w:rsid w:val="00EA1CC2"/>
    <w:rsid w:val="00EA2D76"/>
    <w:rsid w:val="00EA3B47"/>
    <w:rsid w:val="00EA4644"/>
    <w:rsid w:val="00EA7236"/>
    <w:rsid w:val="00EA758A"/>
    <w:rsid w:val="00EB096F"/>
    <w:rsid w:val="00EB199F"/>
    <w:rsid w:val="00EB21A4"/>
    <w:rsid w:val="00EB27C4"/>
    <w:rsid w:val="00EB5387"/>
    <w:rsid w:val="00EB572C"/>
    <w:rsid w:val="00EB5C10"/>
    <w:rsid w:val="00EB6851"/>
    <w:rsid w:val="00EB7322"/>
    <w:rsid w:val="00EB7B0E"/>
    <w:rsid w:val="00EC04EA"/>
    <w:rsid w:val="00EC0FE9"/>
    <w:rsid w:val="00EC198B"/>
    <w:rsid w:val="00EC2616"/>
    <w:rsid w:val="00EC426D"/>
    <w:rsid w:val="00EC571B"/>
    <w:rsid w:val="00EC57D7"/>
    <w:rsid w:val="00EC6385"/>
    <w:rsid w:val="00EC7877"/>
    <w:rsid w:val="00ED1DE9"/>
    <w:rsid w:val="00ED23D4"/>
    <w:rsid w:val="00ED324F"/>
    <w:rsid w:val="00ED5E0B"/>
    <w:rsid w:val="00EE2D82"/>
    <w:rsid w:val="00EE37B6"/>
    <w:rsid w:val="00EE5180"/>
    <w:rsid w:val="00EE71AB"/>
    <w:rsid w:val="00EF0F45"/>
    <w:rsid w:val="00EF1260"/>
    <w:rsid w:val="00EF4965"/>
    <w:rsid w:val="00EF7463"/>
    <w:rsid w:val="00EF7971"/>
    <w:rsid w:val="00F002EF"/>
    <w:rsid w:val="00F01EE9"/>
    <w:rsid w:val="00F044E8"/>
    <w:rsid w:val="00F0476C"/>
    <w:rsid w:val="00F04900"/>
    <w:rsid w:val="00F065A4"/>
    <w:rsid w:val="00F0670B"/>
    <w:rsid w:val="00F10D0C"/>
    <w:rsid w:val="00F126B9"/>
    <w:rsid w:val="00F12715"/>
    <w:rsid w:val="00F14167"/>
    <w:rsid w:val="00F144D5"/>
    <w:rsid w:val="00F146F0"/>
    <w:rsid w:val="00F15039"/>
    <w:rsid w:val="00F20FF3"/>
    <w:rsid w:val="00F2190B"/>
    <w:rsid w:val="00F228B5"/>
    <w:rsid w:val="00F2389C"/>
    <w:rsid w:val="00F249F7"/>
    <w:rsid w:val="00F25C67"/>
    <w:rsid w:val="00F30846"/>
    <w:rsid w:val="00F30DFF"/>
    <w:rsid w:val="00F32B80"/>
    <w:rsid w:val="00F340EB"/>
    <w:rsid w:val="00F34906"/>
    <w:rsid w:val="00F35285"/>
    <w:rsid w:val="00F422C7"/>
    <w:rsid w:val="00F43B9D"/>
    <w:rsid w:val="00F44A70"/>
    <w:rsid w:val="00F44D5E"/>
    <w:rsid w:val="00F45B18"/>
    <w:rsid w:val="00F53A35"/>
    <w:rsid w:val="00F54E09"/>
    <w:rsid w:val="00F55A3D"/>
    <w:rsid w:val="00F5744B"/>
    <w:rsid w:val="00F579D2"/>
    <w:rsid w:val="00F61209"/>
    <w:rsid w:val="00F6259E"/>
    <w:rsid w:val="00F65DD4"/>
    <w:rsid w:val="00F66602"/>
    <w:rsid w:val="00F672B2"/>
    <w:rsid w:val="00F7486C"/>
    <w:rsid w:val="00F80779"/>
    <w:rsid w:val="00F83973"/>
    <w:rsid w:val="00F87C4C"/>
    <w:rsid w:val="00F87FA3"/>
    <w:rsid w:val="00F93D8C"/>
    <w:rsid w:val="00F97B66"/>
    <w:rsid w:val="00FA3102"/>
    <w:rsid w:val="00FA433F"/>
    <w:rsid w:val="00FA48D4"/>
    <w:rsid w:val="00FA54FA"/>
    <w:rsid w:val="00FA629F"/>
    <w:rsid w:val="00FA6D39"/>
    <w:rsid w:val="00FB0276"/>
    <w:rsid w:val="00FB08CC"/>
    <w:rsid w:val="00FB227E"/>
    <w:rsid w:val="00FB3D61"/>
    <w:rsid w:val="00FB44CE"/>
    <w:rsid w:val="00FB5009"/>
    <w:rsid w:val="00FB750C"/>
    <w:rsid w:val="00FB76AB"/>
    <w:rsid w:val="00FC3A8F"/>
    <w:rsid w:val="00FC6565"/>
    <w:rsid w:val="00FC724C"/>
    <w:rsid w:val="00FD03FE"/>
    <w:rsid w:val="00FD0574"/>
    <w:rsid w:val="00FD0D0F"/>
    <w:rsid w:val="00FD126E"/>
    <w:rsid w:val="00FD2054"/>
    <w:rsid w:val="00FD3C36"/>
    <w:rsid w:val="00FD43ED"/>
    <w:rsid w:val="00FD4677"/>
    <w:rsid w:val="00FD4D81"/>
    <w:rsid w:val="00FD7269"/>
    <w:rsid w:val="00FD7498"/>
    <w:rsid w:val="00FD7FB3"/>
    <w:rsid w:val="00FE4713"/>
    <w:rsid w:val="00FF1F44"/>
    <w:rsid w:val="00FF225E"/>
    <w:rsid w:val="00FF327A"/>
    <w:rsid w:val="00FF672C"/>
    <w:rsid w:val="00FF6CE8"/>
    <w:rsid w:val="00FF7E8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68E3B"/>
  <w14:defaultImageDpi w14:val="330"/>
  <w15:docId w15:val="{90D3AAF2-6B5B-4646-B036-7C1A2021B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0D6935"/>
    <w:pPr>
      <w:keepNext/>
      <w:spacing w:before="360" w:after="60" w:line="360" w:lineRule="auto"/>
      <w:ind w:right="567"/>
      <w:contextualSpacing/>
      <w:outlineLvl w:val="0"/>
    </w:pPr>
    <w:rPr>
      <w:rFonts w:cs="Arial"/>
      <w:bCs/>
      <w:kern w:val="32"/>
      <w:szCs w:val="32"/>
    </w:rPr>
  </w:style>
  <w:style w:type="paragraph" w:styleId="Heading2">
    <w:name w:val="heading 2"/>
    <w:basedOn w:val="Normal"/>
    <w:next w:val="Paragraph"/>
    <w:link w:val="Heading2Char"/>
    <w:qFormat/>
    <w:rsid w:val="008C481F"/>
    <w:pPr>
      <w:keepNext/>
      <w:spacing w:before="360" w:after="60" w:line="360" w:lineRule="auto"/>
      <w:ind w:right="567"/>
      <w:contextualSpacing/>
      <w:outlineLvl w:val="1"/>
    </w:pPr>
    <w:rPr>
      <w:rFonts w:cs="Arial"/>
      <w:b/>
      <w:bCs/>
      <w:i/>
      <w:iCs/>
      <w:cap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AD281A"/>
    <w:pPr>
      <w:tabs>
        <w:tab w:val="left" w:pos="1077"/>
        <w:tab w:val="left" w:pos="1440"/>
        <w:tab w:val="left" w:pos="1797"/>
        <w:tab w:val="left" w:pos="2155"/>
        <w:tab w:val="left" w:pos="2512"/>
      </w:tabs>
      <w:spacing w:before="240" w:after="360" w:line="360" w:lineRule="auto"/>
      <w:ind w:left="709" w:right="425"/>
      <w:contextualSpacing/>
      <w:jc w:val="both"/>
    </w:pPr>
    <w:rPr>
      <w:sz w:val="22"/>
      <w:shd w:val="clear" w:color="auto" w:fill="FFFFFF"/>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802DBA"/>
    <w:pPr>
      <w:spacing w:before="120" w:line="360" w:lineRule="auto"/>
      <w:ind w:left="482" w:hanging="482"/>
      <w:contextualSpacing/>
      <w:jc w:val="both"/>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3362C6"/>
    <w:pPr>
      <w:widowControl w:val="0"/>
      <w:spacing w:before="240" w:line="360" w:lineRule="auto"/>
      <w:jc w:val="both"/>
    </w:pPr>
  </w:style>
  <w:style w:type="paragraph" w:customStyle="1" w:styleId="Newparagraph">
    <w:name w:val="New paragraph"/>
    <w:basedOn w:val="Normal"/>
    <w:qFormat/>
    <w:rsid w:val="00C65F75"/>
    <w:pPr>
      <w:spacing w:line="360" w:lineRule="auto"/>
      <w:ind w:firstLine="720"/>
      <w:jc w:val="both"/>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C481F"/>
    <w:rPr>
      <w:rFonts w:cs="Arial"/>
      <w:b/>
      <w:bCs/>
      <w:i/>
      <w:iCs/>
      <w:caps/>
      <w:sz w:val="24"/>
      <w:szCs w:val="28"/>
    </w:rPr>
  </w:style>
  <w:style w:type="character" w:customStyle="1" w:styleId="Heading1Char">
    <w:name w:val="Heading 1 Char"/>
    <w:basedOn w:val="DefaultParagraphFont"/>
    <w:link w:val="Heading1"/>
    <w:rsid w:val="000D6935"/>
    <w:rPr>
      <w:rFonts w:cs="Arial"/>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1E7F76"/>
    <w:pPr>
      <w:spacing w:line="360" w:lineRule="auto"/>
      <w:ind w:left="284" w:hanging="284"/>
      <w:jc w:val="both"/>
    </w:pPr>
    <w:rPr>
      <w:sz w:val="22"/>
      <w:szCs w:val="20"/>
      <w:lang w:val="en-US"/>
    </w:rPr>
  </w:style>
  <w:style w:type="character" w:customStyle="1" w:styleId="FootnoteTextChar">
    <w:name w:val="Footnote Text Char"/>
    <w:basedOn w:val="DefaultParagraphFont"/>
    <w:link w:val="FootnoteText"/>
    <w:rsid w:val="001E7F76"/>
    <w:rPr>
      <w:sz w:val="22"/>
      <w:lang w:val="en-US"/>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uiPriority w:val="9"/>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nhideWhenUsed/>
    <w:rsid w:val="0088425D"/>
    <w:rPr>
      <w:color w:val="0000FF" w:themeColor="hyperlink"/>
      <w:u w:val="single"/>
    </w:rPr>
  </w:style>
  <w:style w:type="paragraph" w:styleId="TOC3">
    <w:name w:val="toc 3"/>
    <w:basedOn w:val="Normal"/>
    <w:next w:val="Normal"/>
    <w:autoRedefine/>
    <w:uiPriority w:val="39"/>
    <w:unhideWhenUsed/>
    <w:qFormat/>
    <w:rsid w:val="00B16252"/>
    <w:pPr>
      <w:tabs>
        <w:tab w:val="left" w:pos="851"/>
        <w:tab w:val="right" w:leader="dot" w:pos="8640"/>
      </w:tabs>
      <w:spacing w:line="360" w:lineRule="auto"/>
      <w:ind w:left="851" w:right="130" w:hanging="851"/>
      <w:jc w:val="both"/>
    </w:pPr>
    <w:rPr>
      <w:rFonts w:ascii="Arial" w:eastAsia="Calibri" w:hAnsi="Arial"/>
      <w:iCs/>
      <w:szCs w:val="20"/>
      <w:lang w:eastAsia="en-US"/>
    </w:rPr>
  </w:style>
  <w:style w:type="paragraph" w:customStyle="1" w:styleId="Quoteintext">
    <w:name w:val="Quote in text"/>
    <w:basedOn w:val="Normal"/>
    <w:rsid w:val="006E064F"/>
    <w:pPr>
      <w:tabs>
        <w:tab w:val="left" w:pos="567"/>
        <w:tab w:val="left" w:pos="1701"/>
        <w:tab w:val="right" w:pos="8505"/>
      </w:tabs>
      <w:spacing w:line="360" w:lineRule="auto"/>
      <w:ind w:left="1134" w:right="1134"/>
      <w:jc w:val="both"/>
    </w:pPr>
    <w:rPr>
      <w:rFonts w:ascii="Arial" w:eastAsia="Calibri" w:hAnsi="Arial"/>
      <w:sz w:val="20"/>
      <w:szCs w:val="20"/>
      <w:lang w:eastAsia="en-US"/>
    </w:rPr>
  </w:style>
  <w:style w:type="paragraph" w:styleId="BalloonText">
    <w:name w:val="Balloon Text"/>
    <w:basedOn w:val="Normal"/>
    <w:link w:val="BalloonTextChar"/>
    <w:uiPriority w:val="99"/>
    <w:semiHidden/>
    <w:unhideWhenUsed/>
    <w:rsid w:val="00B90AAD"/>
    <w:pPr>
      <w:tabs>
        <w:tab w:val="left" w:pos="567"/>
        <w:tab w:val="left" w:pos="1701"/>
      </w:tabs>
      <w:spacing w:line="240" w:lineRule="auto"/>
      <w:jc w:val="both"/>
    </w:pPr>
    <w:rPr>
      <w:rFonts w:ascii="Tahoma" w:eastAsia="Calibri" w:hAnsi="Tahoma"/>
      <w:sz w:val="16"/>
      <w:szCs w:val="16"/>
      <w:lang w:eastAsia="x-none"/>
    </w:rPr>
  </w:style>
  <w:style w:type="character" w:customStyle="1" w:styleId="BalloonTextChar">
    <w:name w:val="Balloon Text Char"/>
    <w:basedOn w:val="DefaultParagraphFont"/>
    <w:link w:val="BalloonText"/>
    <w:uiPriority w:val="99"/>
    <w:semiHidden/>
    <w:rsid w:val="00B90AAD"/>
    <w:rPr>
      <w:rFonts w:ascii="Tahoma" w:eastAsia="Calibri" w:hAnsi="Tahoma"/>
      <w:sz w:val="16"/>
      <w:szCs w:val="16"/>
      <w:lang w:eastAsia="x-none"/>
    </w:rPr>
  </w:style>
  <w:style w:type="character" w:customStyle="1" w:styleId="g1">
    <w:name w:val="g1"/>
    <w:rsid w:val="009E1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3593">
      <w:bodyDiv w:val="1"/>
      <w:marLeft w:val="0"/>
      <w:marRight w:val="0"/>
      <w:marTop w:val="0"/>
      <w:marBottom w:val="0"/>
      <w:divBdr>
        <w:top w:val="none" w:sz="0" w:space="0" w:color="auto"/>
        <w:left w:val="none" w:sz="0" w:space="0" w:color="auto"/>
        <w:bottom w:val="none" w:sz="0" w:space="0" w:color="auto"/>
        <w:right w:val="none" w:sz="0" w:space="0" w:color="auto"/>
      </w:divBdr>
    </w:div>
    <w:div w:id="26177780">
      <w:bodyDiv w:val="1"/>
      <w:marLeft w:val="0"/>
      <w:marRight w:val="0"/>
      <w:marTop w:val="0"/>
      <w:marBottom w:val="0"/>
      <w:divBdr>
        <w:top w:val="none" w:sz="0" w:space="0" w:color="auto"/>
        <w:left w:val="none" w:sz="0" w:space="0" w:color="auto"/>
        <w:bottom w:val="none" w:sz="0" w:space="0" w:color="auto"/>
        <w:right w:val="none" w:sz="0" w:space="0" w:color="auto"/>
      </w:divBdr>
    </w:div>
    <w:div w:id="365524217">
      <w:bodyDiv w:val="1"/>
      <w:marLeft w:val="0"/>
      <w:marRight w:val="0"/>
      <w:marTop w:val="0"/>
      <w:marBottom w:val="0"/>
      <w:divBdr>
        <w:top w:val="none" w:sz="0" w:space="0" w:color="auto"/>
        <w:left w:val="none" w:sz="0" w:space="0" w:color="auto"/>
        <w:bottom w:val="none" w:sz="0" w:space="0" w:color="auto"/>
        <w:right w:val="none" w:sz="0" w:space="0" w:color="auto"/>
      </w:divBdr>
    </w:div>
    <w:div w:id="445927173">
      <w:bodyDiv w:val="1"/>
      <w:marLeft w:val="0"/>
      <w:marRight w:val="0"/>
      <w:marTop w:val="0"/>
      <w:marBottom w:val="0"/>
      <w:divBdr>
        <w:top w:val="none" w:sz="0" w:space="0" w:color="auto"/>
        <w:left w:val="none" w:sz="0" w:space="0" w:color="auto"/>
        <w:bottom w:val="none" w:sz="0" w:space="0" w:color="auto"/>
        <w:right w:val="none" w:sz="0" w:space="0" w:color="auto"/>
      </w:divBdr>
    </w:div>
    <w:div w:id="749353826">
      <w:bodyDiv w:val="1"/>
      <w:marLeft w:val="0"/>
      <w:marRight w:val="0"/>
      <w:marTop w:val="0"/>
      <w:marBottom w:val="0"/>
      <w:divBdr>
        <w:top w:val="none" w:sz="0" w:space="0" w:color="auto"/>
        <w:left w:val="none" w:sz="0" w:space="0" w:color="auto"/>
        <w:bottom w:val="none" w:sz="0" w:space="0" w:color="auto"/>
        <w:right w:val="none" w:sz="0" w:space="0" w:color="auto"/>
      </w:divBdr>
    </w:div>
    <w:div w:id="768279518">
      <w:bodyDiv w:val="1"/>
      <w:marLeft w:val="0"/>
      <w:marRight w:val="0"/>
      <w:marTop w:val="0"/>
      <w:marBottom w:val="0"/>
      <w:divBdr>
        <w:top w:val="none" w:sz="0" w:space="0" w:color="auto"/>
        <w:left w:val="none" w:sz="0" w:space="0" w:color="auto"/>
        <w:bottom w:val="none" w:sz="0" w:space="0" w:color="auto"/>
        <w:right w:val="none" w:sz="0" w:space="0" w:color="auto"/>
      </w:divBdr>
    </w:div>
    <w:div w:id="828981633">
      <w:bodyDiv w:val="1"/>
      <w:marLeft w:val="0"/>
      <w:marRight w:val="0"/>
      <w:marTop w:val="0"/>
      <w:marBottom w:val="0"/>
      <w:divBdr>
        <w:top w:val="none" w:sz="0" w:space="0" w:color="auto"/>
        <w:left w:val="none" w:sz="0" w:space="0" w:color="auto"/>
        <w:bottom w:val="none" w:sz="0" w:space="0" w:color="auto"/>
        <w:right w:val="none" w:sz="0" w:space="0" w:color="auto"/>
      </w:divBdr>
    </w:div>
    <w:div w:id="831412676">
      <w:bodyDiv w:val="1"/>
      <w:marLeft w:val="0"/>
      <w:marRight w:val="0"/>
      <w:marTop w:val="0"/>
      <w:marBottom w:val="0"/>
      <w:divBdr>
        <w:top w:val="none" w:sz="0" w:space="0" w:color="auto"/>
        <w:left w:val="none" w:sz="0" w:space="0" w:color="auto"/>
        <w:bottom w:val="none" w:sz="0" w:space="0" w:color="auto"/>
        <w:right w:val="none" w:sz="0" w:space="0" w:color="auto"/>
      </w:divBdr>
    </w:div>
    <w:div w:id="868954818">
      <w:bodyDiv w:val="1"/>
      <w:marLeft w:val="0"/>
      <w:marRight w:val="0"/>
      <w:marTop w:val="0"/>
      <w:marBottom w:val="0"/>
      <w:divBdr>
        <w:top w:val="none" w:sz="0" w:space="0" w:color="auto"/>
        <w:left w:val="none" w:sz="0" w:space="0" w:color="auto"/>
        <w:bottom w:val="none" w:sz="0" w:space="0" w:color="auto"/>
        <w:right w:val="none" w:sz="0" w:space="0" w:color="auto"/>
      </w:divBdr>
    </w:div>
    <w:div w:id="880898184">
      <w:bodyDiv w:val="1"/>
      <w:marLeft w:val="0"/>
      <w:marRight w:val="0"/>
      <w:marTop w:val="0"/>
      <w:marBottom w:val="0"/>
      <w:divBdr>
        <w:top w:val="none" w:sz="0" w:space="0" w:color="auto"/>
        <w:left w:val="none" w:sz="0" w:space="0" w:color="auto"/>
        <w:bottom w:val="none" w:sz="0" w:space="0" w:color="auto"/>
        <w:right w:val="none" w:sz="0" w:space="0" w:color="auto"/>
      </w:divBdr>
    </w:div>
    <w:div w:id="886573908">
      <w:bodyDiv w:val="1"/>
      <w:marLeft w:val="0"/>
      <w:marRight w:val="0"/>
      <w:marTop w:val="0"/>
      <w:marBottom w:val="0"/>
      <w:divBdr>
        <w:top w:val="none" w:sz="0" w:space="0" w:color="auto"/>
        <w:left w:val="none" w:sz="0" w:space="0" w:color="auto"/>
        <w:bottom w:val="none" w:sz="0" w:space="0" w:color="auto"/>
        <w:right w:val="none" w:sz="0" w:space="0" w:color="auto"/>
      </w:divBdr>
    </w:div>
    <w:div w:id="888224471">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151629978">
      <w:bodyDiv w:val="1"/>
      <w:marLeft w:val="0"/>
      <w:marRight w:val="0"/>
      <w:marTop w:val="0"/>
      <w:marBottom w:val="0"/>
      <w:divBdr>
        <w:top w:val="none" w:sz="0" w:space="0" w:color="auto"/>
        <w:left w:val="none" w:sz="0" w:space="0" w:color="auto"/>
        <w:bottom w:val="none" w:sz="0" w:space="0" w:color="auto"/>
        <w:right w:val="none" w:sz="0" w:space="0" w:color="auto"/>
      </w:divBdr>
    </w:div>
    <w:div w:id="1328945956">
      <w:bodyDiv w:val="1"/>
      <w:marLeft w:val="0"/>
      <w:marRight w:val="0"/>
      <w:marTop w:val="0"/>
      <w:marBottom w:val="0"/>
      <w:divBdr>
        <w:top w:val="none" w:sz="0" w:space="0" w:color="auto"/>
        <w:left w:val="none" w:sz="0" w:space="0" w:color="auto"/>
        <w:bottom w:val="none" w:sz="0" w:space="0" w:color="auto"/>
        <w:right w:val="none" w:sz="0" w:space="0" w:color="auto"/>
      </w:divBdr>
    </w:div>
    <w:div w:id="1411733113">
      <w:bodyDiv w:val="1"/>
      <w:marLeft w:val="0"/>
      <w:marRight w:val="0"/>
      <w:marTop w:val="0"/>
      <w:marBottom w:val="0"/>
      <w:divBdr>
        <w:top w:val="none" w:sz="0" w:space="0" w:color="auto"/>
        <w:left w:val="none" w:sz="0" w:space="0" w:color="auto"/>
        <w:bottom w:val="none" w:sz="0" w:space="0" w:color="auto"/>
        <w:right w:val="none" w:sz="0" w:space="0" w:color="auto"/>
      </w:divBdr>
    </w:div>
    <w:div w:id="1432236499">
      <w:bodyDiv w:val="1"/>
      <w:marLeft w:val="0"/>
      <w:marRight w:val="0"/>
      <w:marTop w:val="0"/>
      <w:marBottom w:val="0"/>
      <w:divBdr>
        <w:top w:val="none" w:sz="0" w:space="0" w:color="auto"/>
        <w:left w:val="none" w:sz="0" w:space="0" w:color="auto"/>
        <w:bottom w:val="none" w:sz="0" w:space="0" w:color="auto"/>
        <w:right w:val="none" w:sz="0" w:space="0" w:color="auto"/>
      </w:divBdr>
    </w:div>
    <w:div w:id="1469737792">
      <w:bodyDiv w:val="1"/>
      <w:marLeft w:val="0"/>
      <w:marRight w:val="0"/>
      <w:marTop w:val="0"/>
      <w:marBottom w:val="0"/>
      <w:divBdr>
        <w:top w:val="none" w:sz="0" w:space="0" w:color="auto"/>
        <w:left w:val="none" w:sz="0" w:space="0" w:color="auto"/>
        <w:bottom w:val="none" w:sz="0" w:space="0" w:color="auto"/>
        <w:right w:val="none" w:sz="0" w:space="0" w:color="auto"/>
      </w:divBdr>
    </w:div>
    <w:div w:id="1595898103">
      <w:bodyDiv w:val="1"/>
      <w:marLeft w:val="0"/>
      <w:marRight w:val="0"/>
      <w:marTop w:val="0"/>
      <w:marBottom w:val="0"/>
      <w:divBdr>
        <w:top w:val="none" w:sz="0" w:space="0" w:color="auto"/>
        <w:left w:val="none" w:sz="0" w:space="0" w:color="auto"/>
        <w:bottom w:val="none" w:sz="0" w:space="0" w:color="auto"/>
        <w:right w:val="none" w:sz="0" w:space="0" w:color="auto"/>
      </w:divBdr>
    </w:div>
    <w:div w:id="1608348277">
      <w:bodyDiv w:val="1"/>
      <w:marLeft w:val="0"/>
      <w:marRight w:val="0"/>
      <w:marTop w:val="0"/>
      <w:marBottom w:val="0"/>
      <w:divBdr>
        <w:top w:val="none" w:sz="0" w:space="0" w:color="auto"/>
        <w:left w:val="none" w:sz="0" w:space="0" w:color="auto"/>
        <w:bottom w:val="none" w:sz="0" w:space="0" w:color="auto"/>
        <w:right w:val="none" w:sz="0" w:space="0" w:color="auto"/>
      </w:divBdr>
    </w:div>
    <w:div w:id="1658922012">
      <w:bodyDiv w:val="1"/>
      <w:marLeft w:val="0"/>
      <w:marRight w:val="0"/>
      <w:marTop w:val="0"/>
      <w:marBottom w:val="0"/>
      <w:divBdr>
        <w:top w:val="none" w:sz="0" w:space="0" w:color="auto"/>
        <w:left w:val="none" w:sz="0" w:space="0" w:color="auto"/>
        <w:bottom w:val="none" w:sz="0" w:space="0" w:color="auto"/>
        <w:right w:val="none" w:sz="0" w:space="0" w:color="auto"/>
      </w:divBdr>
    </w:div>
    <w:div w:id="1665013397">
      <w:bodyDiv w:val="1"/>
      <w:marLeft w:val="0"/>
      <w:marRight w:val="0"/>
      <w:marTop w:val="0"/>
      <w:marBottom w:val="0"/>
      <w:divBdr>
        <w:top w:val="none" w:sz="0" w:space="0" w:color="auto"/>
        <w:left w:val="none" w:sz="0" w:space="0" w:color="auto"/>
        <w:bottom w:val="none" w:sz="0" w:space="0" w:color="auto"/>
        <w:right w:val="none" w:sz="0" w:space="0" w:color="auto"/>
      </w:divBdr>
    </w:div>
    <w:div w:id="1721243788">
      <w:bodyDiv w:val="1"/>
      <w:marLeft w:val="0"/>
      <w:marRight w:val="0"/>
      <w:marTop w:val="0"/>
      <w:marBottom w:val="0"/>
      <w:divBdr>
        <w:top w:val="none" w:sz="0" w:space="0" w:color="auto"/>
        <w:left w:val="none" w:sz="0" w:space="0" w:color="auto"/>
        <w:bottom w:val="none" w:sz="0" w:space="0" w:color="auto"/>
        <w:right w:val="none" w:sz="0" w:space="0" w:color="auto"/>
      </w:divBdr>
    </w:div>
    <w:div w:id="1753698979">
      <w:bodyDiv w:val="1"/>
      <w:marLeft w:val="0"/>
      <w:marRight w:val="0"/>
      <w:marTop w:val="0"/>
      <w:marBottom w:val="0"/>
      <w:divBdr>
        <w:top w:val="none" w:sz="0" w:space="0" w:color="auto"/>
        <w:left w:val="none" w:sz="0" w:space="0" w:color="auto"/>
        <w:bottom w:val="none" w:sz="0" w:space="0" w:color="auto"/>
        <w:right w:val="none" w:sz="0" w:space="0" w:color="auto"/>
      </w:divBdr>
    </w:div>
    <w:div w:id="1911695455">
      <w:bodyDiv w:val="1"/>
      <w:marLeft w:val="0"/>
      <w:marRight w:val="0"/>
      <w:marTop w:val="0"/>
      <w:marBottom w:val="0"/>
      <w:divBdr>
        <w:top w:val="none" w:sz="0" w:space="0" w:color="auto"/>
        <w:left w:val="none" w:sz="0" w:space="0" w:color="auto"/>
        <w:bottom w:val="none" w:sz="0" w:space="0" w:color="auto"/>
        <w:right w:val="none" w:sz="0" w:space="0" w:color="auto"/>
      </w:divBdr>
    </w:div>
    <w:div w:id="207277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aw.utexas.edu/transnational/foreign-law-translations/israeli/case.php?id=13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plesh\AppData\Roaming\Microsoft\Templates\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D832C-E290-4DD1-ACC2-090ACF83E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2</TotalTime>
  <Pages>38</Pages>
  <Words>9601</Words>
  <Characters>54731</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64204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Reviewer</dc:creator>
  <cp:lastModifiedBy>Du Plessis, Hanri</cp:lastModifiedBy>
  <cp:revision>3</cp:revision>
  <cp:lastPrinted>2018-07-23T09:18:00Z</cp:lastPrinted>
  <dcterms:created xsi:type="dcterms:W3CDTF">2018-07-23T22:11:00Z</dcterms:created>
  <dcterms:modified xsi:type="dcterms:W3CDTF">2018-07-23T22:13:00Z</dcterms:modified>
</cp:coreProperties>
</file>